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4A0" w:firstRow="1" w:lastRow="0" w:firstColumn="1" w:lastColumn="0" w:noHBand="0" w:noVBand="1"/>
      </w:tblPr>
      <w:tblGrid>
        <w:gridCol w:w="3435"/>
        <w:gridCol w:w="5637"/>
      </w:tblGrid>
      <w:tr w:rsidR="00A004BD" w:rsidRPr="002E402F" w14:paraId="52E29ED3" w14:textId="77777777" w:rsidTr="008A24C1">
        <w:trPr>
          <w:jc w:val="center"/>
        </w:trPr>
        <w:tc>
          <w:tcPr>
            <w:tcW w:w="1893" w:type="pct"/>
            <w:shd w:val="clear" w:color="auto" w:fill="auto"/>
          </w:tcPr>
          <w:p w14:paraId="4EEEB512" w14:textId="77777777" w:rsidR="00A004BD" w:rsidRPr="007E3B02" w:rsidRDefault="00A004BD" w:rsidP="008A24C1">
            <w:pPr>
              <w:spacing w:after="0" w:line="240" w:lineRule="auto"/>
              <w:jc w:val="center"/>
              <w:rPr>
                <w:rFonts w:ascii="Times New Roman" w:hAnsi="Times New Roman" w:cs="Times New Roman"/>
                <w:sz w:val="26"/>
                <w:szCs w:val="26"/>
                <w:lang w:val="nl-NL"/>
              </w:rPr>
            </w:pPr>
            <w:r w:rsidRPr="007E3B02">
              <w:rPr>
                <w:rFonts w:ascii="Times New Roman" w:hAnsi="Times New Roman" w:cs="Times New Roman"/>
                <w:sz w:val="26"/>
                <w:szCs w:val="26"/>
                <w:lang w:val="nl-NL"/>
              </w:rPr>
              <w:t>UBND TỈNH KHÁNH HÒA</w:t>
            </w:r>
          </w:p>
          <w:p w14:paraId="047AEFAF" w14:textId="1B3EBF64" w:rsidR="00C73AFC" w:rsidRPr="00D04D8A" w:rsidRDefault="008A24C1" w:rsidP="00C73AFC">
            <w:pPr>
              <w:spacing w:after="0" w:line="240" w:lineRule="auto"/>
              <w:jc w:val="center"/>
              <w:rPr>
                <w:rFonts w:ascii="Times New Roman" w:hAnsi="Times New Roman" w:cs="Times New Roman"/>
                <w:b/>
                <w:sz w:val="26"/>
                <w:szCs w:val="26"/>
                <w:lang w:val="nl-NL"/>
              </w:rPr>
            </w:pPr>
            <w:r w:rsidRPr="00D04D8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E087190" wp14:editId="2839F8C7">
                      <wp:simplePos x="0" y="0"/>
                      <wp:positionH relativeFrom="column">
                        <wp:posOffset>727710</wp:posOffset>
                      </wp:positionH>
                      <wp:positionV relativeFrom="paragraph">
                        <wp:posOffset>210516</wp:posOffset>
                      </wp:positionV>
                      <wp:extent cx="564543" cy="0"/>
                      <wp:effectExtent l="0" t="0" r="2603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B9FB9"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6.6pt" to="101.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GDGAIAADE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"/>
                  </w:pict>
                </mc:Fallback>
              </mc:AlternateContent>
            </w:r>
            <w:r w:rsidR="00A004BD" w:rsidRPr="00D04D8A">
              <w:rPr>
                <w:rFonts w:ascii="Times New Roman" w:hAnsi="Times New Roman" w:cs="Times New Roman"/>
                <w:b/>
                <w:sz w:val="26"/>
                <w:szCs w:val="26"/>
                <w:lang w:val="nl-NL"/>
              </w:rPr>
              <w:t>SỞ TÀI CHÍNH</w:t>
            </w:r>
          </w:p>
          <w:p w14:paraId="35356417" w14:textId="5201A36A" w:rsidR="00F14732" w:rsidRPr="00C96B12" w:rsidRDefault="00A004BD" w:rsidP="00C96B12">
            <w:pPr>
              <w:spacing w:before="120" w:after="0" w:line="240" w:lineRule="auto"/>
              <w:jc w:val="center"/>
              <w:rPr>
                <w:rFonts w:ascii="Times New Roman" w:hAnsi="Times New Roman" w:cs="Times New Roman"/>
                <w:sz w:val="26"/>
                <w:szCs w:val="26"/>
                <w:vertAlign w:val="superscript"/>
                <w:lang w:val="nl-NL"/>
              </w:rPr>
            </w:pPr>
            <w:r w:rsidRPr="008A24C1">
              <w:rPr>
                <w:rFonts w:ascii="Times New Roman" w:hAnsi="Times New Roman" w:cs="Times New Roman"/>
                <w:sz w:val="26"/>
                <w:szCs w:val="26"/>
                <w:lang w:val="nl-NL"/>
              </w:rPr>
              <w:t xml:space="preserve">Số:    </w:t>
            </w:r>
            <w:r w:rsidR="00711C33" w:rsidRPr="008A24C1">
              <w:rPr>
                <w:rFonts w:ascii="Times New Roman" w:hAnsi="Times New Roman" w:cs="Times New Roman"/>
                <w:sz w:val="26"/>
                <w:szCs w:val="26"/>
                <w:lang w:val="nl-NL"/>
              </w:rPr>
              <w:t xml:space="preserve">   </w:t>
            </w:r>
            <w:r w:rsidRPr="008A24C1">
              <w:rPr>
                <w:rFonts w:ascii="Times New Roman" w:hAnsi="Times New Roman" w:cs="Times New Roman"/>
                <w:sz w:val="26"/>
                <w:szCs w:val="26"/>
                <w:lang w:val="nl-NL"/>
              </w:rPr>
              <w:t xml:space="preserve">   /STC-</w:t>
            </w:r>
            <w:r w:rsidR="00D96332">
              <w:rPr>
                <w:rFonts w:ascii="Times New Roman" w:hAnsi="Times New Roman" w:cs="Times New Roman"/>
                <w:sz w:val="26"/>
                <w:szCs w:val="26"/>
                <w:lang w:val="nl-NL"/>
              </w:rPr>
              <w:t>QLNS</w:t>
            </w:r>
          </w:p>
        </w:tc>
        <w:tc>
          <w:tcPr>
            <w:tcW w:w="3107" w:type="pct"/>
            <w:shd w:val="clear" w:color="auto" w:fill="auto"/>
          </w:tcPr>
          <w:p w14:paraId="5C4DA6F0" w14:textId="77777777" w:rsidR="00A004BD" w:rsidRPr="00B241EA" w:rsidRDefault="00A004BD" w:rsidP="008A24C1">
            <w:pPr>
              <w:spacing w:after="0" w:line="240" w:lineRule="auto"/>
              <w:jc w:val="center"/>
              <w:rPr>
                <w:rFonts w:ascii="Times New Roman" w:hAnsi="Times New Roman" w:cs="Times New Roman"/>
                <w:b/>
                <w:spacing w:val="-2"/>
                <w:sz w:val="26"/>
                <w:szCs w:val="26"/>
                <w:lang w:val="nl-NL"/>
              </w:rPr>
            </w:pPr>
            <w:r w:rsidRPr="00B241EA">
              <w:rPr>
                <w:rFonts w:ascii="Times New Roman" w:hAnsi="Times New Roman" w:cs="Times New Roman"/>
                <w:b/>
                <w:spacing w:val="-2"/>
                <w:sz w:val="26"/>
                <w:szCs w:val="26"/>
                <w:lang w:val="nl-NL"/>
              </w:rPr>
              <w:t>CỘNG HÒA XÃ HỘI CHỦ NGHĨA VIỆT NAM</w:t>
            </w:r>
          </w:p>
          <w:p w14:paraId="6BD18519" w14:textId="77777777" w:rsidR="00C73AFC" w:rsidRPr="007E3B02" w:rsidRDefault="002311B7" w:rsidP="00C73AFC">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087556">
              <w:rPr>
                <w:rFonts w:ascii="Times New Roman" w:hAnsi="Times New Roman" w:cs="Times New Roman"/>
                <w:b/>
                <w:sz w:val="28"/>
                <w:szCs w:val="28"/>
                <w:lang w:val="nl-NL"/>
              </w:rPr>
              <w:t xml:space="preserve"> </w:t>
            </w:r>
            <w:r w:rsidR="00A004BD" w:rsidRPr="007E3B02">
              <w:rPr>
                <w:rFonts w:ascii="Times New Roman" w:hAnsi="Times New Roman" w:cs="Times New Roman"/>
                <w:b/>
                <w:sz w:val="28"/>
                <w:szCs w:val="28"/>
                <w:lang w:val="nl-NL"/>
              </w:rPr>
              <w:t>Độc lập -Tự do - Hạnh phúc</w:t>
            </w:r>
          </w:p>
          <w:p w14:paraId="621B784A" w14:textId="323BA849" w:rsidR="00A004BD" w:rsidRPr="008A24C1" w:rsidRDefault="00AC679B" w:rsidP="00C73AFC">
            <w:pPr>
              <w:spacing w:before="120" w:after="0" w:line="240" w:lineRule="auto"/>
              <w:jc w:val="center"/>
              <w:rPr>
                <w:rFonts w:ascii="Times New Roman" w:hAnsi="Times New Roman" w:cs="Times New Roman"/>
                <w:sz w:val="26"/>
                <w:szCs w:val="26"/>
                <w:lang w:val="nl-NL"/>
              </w:rPr>
            </w:pPr>
            <w:r w:rsidRPr="008A24C1">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D0591BF" wp14:editId="2F69C40F">
                      <wp:simplePos x="0" y="0"/>
                      <wp:positionH relativeFrom="column">
                        <wp:posOffset>738560</wp:posOffset>
                      </wp:positionH>
                      <wp:positionV relativeFrom="paragraph">
                        <wp:posOffset>22612</wp:posOffset>
                      </wp:positionV>
                      <wp:extent cx="2075291" cy="0"/>
                      <wp:effectExtent l="0" t="0" r="2032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4A4A"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1.8pt" to="22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Yj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"/>
                  </w:pict>
                </mc:Fallback>
              </mc:AlternateContent>
            </w:r>
            <w:r w:rsidR="00A004BD" w:rsidRPr="008A24C1">
              <w:rPr>
                <w:rFonts w:ascii="Times New Roman" w:hAnsi="Times New Roman" w:cs="Times New Roman"/>
                <w:i/>
                <w:sz w:val="26"/>
                <w:szCs w:val="26"/>
                <w:lang w:val="nl-NL"/>
              </w:rPr>
              <w:t>Khánh Hòa, ngày          tháng      năm 202</w:t>
            </w:r>
            <w:r w:rsidR="00876409">
              <w:rPr>
                <w:rFonts w:ascii="Times New Roman" w:hAnsi="Times New Roman" w:cs="Times New Roman"/>
                <w:i/>
                <w:sz w:val="26"/>
                <w:szCs w:val="26"/>
                <w:lang w:val="nl-NL"/>
              </w:rPr>
              <w:t>5</w:t>
            </w:r>
          </w:p>
        </w:tc>
      </w:tr>
      <w:tr w:rsidR="00526436" w:rsidRPr="002E402F" w14:paraId="53EAE037" w14:textId="77777777" w:rsidTr="008A24C1">
        <w:trPr>
          <w:jc w:val="center"/>
        </w:trPr>
        <w:tc>
          <w:tcPr>
            <w:tcW w:w="5000" w:type="pct"/>
            <w:gridSpan w:val="2"/>
            <w:shd w:val="clear" w:color="auto" w:fill="auto"/>
          </w:tcPr>
          <w:p w14:paraId="55A56146" w14:textId="77777777" w:rsidR="00526436" w:rsidRDefault="00C96B12" w:rsidP="00C96B12">
            <w:pPr>
              <w:spacing w:before="360" w:after="0" w:line="240" w:lineRule="auto"/>
              <w:jc w:val="center"/>
              <w:rPr>
                <w:rFonts w:ascii="Times New Roman" w:eastAsia="Times New Roman" w:hAnsi="Times New Roman" w:cs="Times New Roman"/>
                <w:b/>
                <w:bCs/>
                <w:color w:val="000000"/>
                <w:sz w:val="28"/>
                <w:szCs w:val="28"/>
                <w:lang w:val="nl-NL"/>
              </w:rPr>
            </w:pPr>
            <w:r w:rsidRPr="00C96B12">
              <w:rPr>
                <w:rFonts w:ascii="Times New Roman" w:eastAsia="Times New Roman" w:hAnsi="Times New Roman" w:cs="Times New Roman"/>
                <w:b/>
                <w:bCs/>
                <w:color w:val="000000"/>
                <w:sz w:val="28"/>
                <w:szCs w:val="28"/>
                <w:lang w:val="nl-NL"/>
              </w:rPr>
              <w:t>BÁO CÁO</w:t>
            </w:r>
          </w:p>
          <w:p w14:paraId="00A4F8D6" w14:textId="50A417BC" w:rsidR="00C96B12" w:rsidRPr="00C96B12" w:rsidRDefault="00C96B12" w:rsidP="00C96B12">
            <w:pPr>
              <w:spacing w:before="120"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Đánh giá tình hình thực hiện nhiệm vụ ngân sách năm 2024</w:t>
            </w:r>
          </w:p>
        </w:tc>
      </w:tr>
    </w:tbl>
    <w:p w14:paraId="2BA1D5AB" w14:textId="51BE4BB7" w:rsidR="00C96B12" w:rsidRDefault="00C96B12" w:rsidP="00FF25D3">
      <w:pPr>
        <w:spacing w:before="120" w:after="0"/>
        <w:ind w:firstLine="743"/>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0C6B961B" wp14:editId="21BEFFF0">
                <wp:simplePos x="0" y="0"/>
                <wp:positionH relativeFrom="column">
                  <wp:posOffset>2110740</wp:posOffset>
                </wp:positionH>
                <wp:positionV relativeFrom="paragraph">
                  <wp:posOffset>58420</wp:posOffset>
                </wp:positionV>
                <wp:extent cx="1695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DCD57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2pt,4.6pt" to="299.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" strokecolor="black [3040]"/>
            </w:pict>
          </mc:Fallback>
        </mc:AlternateContent>
      </w:r>
    </w:p>
    <w:p w14:paraId="00FB68B0" w14:textId="77777777" w:rsidR="00C96B12" w:rsidRPr="00C96B12" w:rsidRDefault="00C96B12" w:rsidP="00C96B12">
      <w:pPr>
        <w:spacing w:before="120" w:after="120" w:line="240" w:lineRule="auto"/>
        <w:ind w:firstLine="720"/>
        <w:jc w:val="both"/>
        <w:rPr>
          <w:rFonts w:ascii="Times New Roman" w:hAnsi="Times New Roman" w:cs="Times New Roman"/>
          <w:b/>
          <w:sz w:val="28"/>
          <w:szCs w:val="28"/>
        </w:rPr>
      </w:pPr>
      <w:r w:rsidRPr="00C96B12">
        <w:rPr>
          <w:rFonts w:ascii="Times New Roman" w:hAnsi="Times New Roman" w:cs="Times New Roman"/>
          <w:b/>
          <w:sz w:val="28"/>
          <w:szCs w:val="28"/>
        </w:rPr>
        <w:t>I</w:t>
      </w:r>
      <w:r w:rsidRPr="00C96B12">
        <w:rPr>
          <w:rFonts w:ascii="Times New Roman" w:hAnsi="Times New Roman" w:cs="Times New Roman"/>
          <w:b/>
          <w:sz w:val="28"/>
          <w:szCs w:val="28"/>
          <w:lang w:val="vi-VN"/>
        </w:rPr>
        <w:t>. Tình hình thực hiện nhiệm vụ ngân sách</w:t>
      </w:r>
      <w:r w:rsidRPr="00C96B12">
        <w:rPr>
          <w:rFonts w:ascii="Times New Roman" w:hAnsi="Times New Roman" w:cs="Times New Roman"/>
          <w:b/>
          <w:sz w:val="28"/>
          <w:szCs w:val="28"/>
        </w:rPr>
        <w:t xml:space="preserve"> năm 2024</w:t>
      </w:r>
    </w:p>
    <w:p w14:paraId="47EBDF9C" w14:textId="77777777" w:rsidR="00C96B12" w:rsidRPr="00C96B12" w:rsidRDefault="00C96B12" w:rsidP="00C96B12">
      <w:pPr>
        <w:spacing w:before="120" w:after="120" w:line="240" w:lineRule="auto"/>
        <w:ind w:firstLine="720"/>
        <w:jc w:val="both"/>
        <w:rPr>
          <w:rFonts w:ascii="Times New Roman" w:hAnsi="Times New Roman" w:cs="Times New Roman"/>
          <w:b/>
          <w:sz w:val="28"/>
          <w:szCs w:val="28"/>
        </w:rPr>
      </w:pPr>
      <w:r w:rsidRPr="00C96B12">
        <w:rPr>
          <w:rFonts w:ascii="Times New Roman" w:hAnsi="Times New Roman" w:cs="Times New Roman"/>
          <w:b/>
          <w:sz w:val="28"/>
          <w:szCs w:val="28"/>
        </w:rPr>
        <w:t>1. Thu ngân sách nhà nước:</w:t>
      </w:r>
    </w:p>
    <w:p w14:paraId="547E4A71" w14:textId="148B42F4" w:rsidR="00C96B12" w:rsidRPr="00C96B12" w:rsidRDefault="00C96B12" w:rsidP="00C96B12">
      <w:pPr>
        <w:spacing w:before="120" w:after="120" w:line="240" w:lineRule="auto"/>
        <w:ind w:firstLine="720"/>
        <w:jc w:val="both"/>
        <w:rPr>
          <w:rFonts w:ascii="Times New Roman" w:hAnsi="Times New Roman" w:cs="Times New Roman"/>
          <w:color w:val="000000"/>
          <w:sz w:val="28"/>
          <w:szCs w:val="28"/>
        </w:rPr>
      </w:pPr>
      <w:r w:rsidRPr="00C96B12">
        <w:rPr>
          <w:rFonts w:ascii="Times New Roman" w:hAnsi="Times New Roman" w:cs="Times New Roman"/>
          <w:sz w:val="28"/>
          <w:szCs w:val="28"/>
        </w:rPr>
        <w:t>Tổng thu NSNN trên địa bàn thực hiện năm 2024 là 20.443 tỷ đồng, vượt 22,5% dự toán và tăng 13,6% so với cùng kỳ năm 2023</w:t>
      </w:r>
      <w:r>
        <w:rPr>
          <w:rFonts w:ascii="Times New Roman" w:hAnsi="Times New Roman" w:cs="Times New Roman"/>
          <w:sz w:val="28"/>
          <w:szCs w:val="28"/>
        </w:rPr>
        <w:t xml:space="preserve">. </w:t>
      </w:r>
      <w:r w:rsidRPr="00C96B12">
        <w:rPr>
          <w:rFonts w:ascii="Times New Roman" w:hAnsi="Times New Roman" w:cs="Times New Roman"/>
          <w:color w:val="000000"/>
          <w:sz w:val="28"/>
          <w:szCs w:val="28"/>
        </w:rPr>
        <w:t>Cụ thể:</w:t>
      </w:r>
    </w:p>
    <w:p w14:paraId="0BFAAC3E"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b/>
          <w:color w:val="000000"/>
          <w:sz w:val="28"/>
          <w:szCs w:val="28"/>
        </w:rPr>
        <w:tab/>
        <w:t xml:space="preserve">1.1. </w:t>
      </w:r>
      <w:r w:rsidRPr="00C96B12">
        <w:rPr>
          <w:rFonts w:ascii="Times New Roman" w:hAnsi="Times New Roman" w:cs="Times New Roman"/>
          <w:b/>
          <w:sz w:val="28"/>
          <w:szCs w:val="28"/>
        </w:rPr>
        <w:t>Thu từ hoạt động xuất nhập khẩu</w:t>
      </w:r>
      <w:r w:rsidRPr="00C96B12">
        <w:rPr>
          <w:rFonts w:ascii="Times New Roman" w:hAnsi="Times New Roman" w:cs="Times New Roman"/>
          <w:b/>
          <w:color w:val="000000"/>
          <w:sz w:val="28"/>
          <w:szCs w:val="28"/>
        </w:rPr>
        <w:t>:</w:t>
      </w:r>
      <w:r w:rsidRPr="00C96B12">
        <w:rPr>
          <w:rFonts w:ascii="Times New Roman" w:hAnsi="Times New Roman" w:cs="Times New Roman"/>
          <w:color w:val="000000"/>
          <w:sz w:val="28"/>
          <w:szCs w:val="28"/>
        </w:rPr>
        <w:t xml:space="preserve"> </w:t>
      </w:r>
      <w:bookmarkStart w:id="0" w:name="_Hlk184287264"/>
      <w:r w:rsidRPr="00C96B12">
        <w:rPr>
          <w:rFonts w:ascii="Times New Roman" w:hAnsi="Times New Roman" w:cs="Times New Roman"/>
          <w:color w:val="000000"/>
          <w:sz w:val="28"/>
          <w:szCs w:val="28"/>
        </w:rPr>
        <w:t>Thực hiện 2.707</w:t>
      </w:r>
      <w:r w:rsidRPr="00C96B12">
        <w:rPr>
          <w:rFonts w:ascii="Times New Roman" w:hAnsi="Times New Roman" w:cs="Times New Roman"/>
          <w:sz w:val="28"/>
          <w:szCs w:val="28"/>
        </w:rPr>
        <w:t xml:space="preserve"> tỷ đồng,</w:t>
      </w:r>
      <w:r w:rsidRPr="00C96B12">
        <w:rPr>
          <w:rFonts w:ascii="Times New Roman" w:hAnsi="Times New Roman" w:cs="Times New Roman"/>
          <w:color w:val="000000"/>
          <w:sz w:val="28"/>
          <w:szCs w:val="28"/>
        </w:rPr>
        <w:t xml:space="preserve"> vượt 29,7% dự toán và tăng 4,5% so với cùng kỳ</w:t>
      </w:r>
      <w:bookmarkEnd w:id="0"/>
      <w:r w:rsidRPr="00C96B12">
        <w:rPr>
          <w:rFonts w:ascii="Times New Roman" w:hAnsi="Times New Roman" w:cs="Times New Roman"/>
          <w:color w:val="000000"/>
          <w:sz w:val="28"/>
          <w:szCs w:val="28"/>
        </w:rPr>
        <w:t xml:space="preserve">. Trong đó thu từ mặt hàng xăng dầu 889 tỷ đồng, mặt hàng than đá 900 tỷ đồng, nguyên phụ liệu thuốc lá 414 tỷ đồng, </w:t>
      </w:r>
      <w:r w:rsidRPr="00C96B12">
        <w:rPr>
          <w:rFonts w:ascii="Times New Roman" w:hAnsi="Times New Roman" w:cs="Times New Roman"/>
          <w:sz w:val="28"/>
          <w:szCs w:val="28"/>
          <w:lang w:val="de-DE"/>
        </w:rPr>
        <w:t>các mặt hàng máy móc thiết bị, phụ tùng của các Công ty đóng tàu 200 tỷ đồng.</w:t>
      </w:r>
    </w:p>
    <w:p w14:paraId="2AAE7C2C" w14:textId="77777777" w:rsidR="00C96B12" w:rsidRPr="00C96B12" w:rsidRDefault="00C96B12" w:rsidP="00C96B12">
      <w:pPr>
        <w:spacing w:before="120" w:after="120" w:line="240" w:lineRule="auto"/>
        <w:ind w:firstLine="709"/>
        <w:jc w:val="both"/>
        <w:rPr>
          <w:rFonts w:ascii="Times New Roman" w:hAnsi="Times New Roman" w:cs="Times New Roman"/>
          <w:sz w:val="28"/>
          <w:szCs w:val="28"/>
        </w:rPr>
      </w:pPr>
      <w:r w:rsidRPr="00C96B12">
        <w:rPr>
          <w:rFonts w:ascii="Times New Roman" w:hAnsi="Times New Roman" w:cs="Times New Roman"/>
          <w:b/>
          <w:color w:val="000000"/>
          <w:sz w:val="28"/>
          <w:szCs w:val="28"/>
        </w:rPr>
        <w:tab/>
      </w:r>
      <w:r w:rsidRPr="00C96B12">
        <w:rPr>
          <w:rFonts w:ascii="Times New Roman" w:hAnsi="Times New Roman" w:cs="Times New Roman"/>
          <w:b/>
          <w:sz w:val="28"/>
          <w:szCs w:val="28"/>
        </w:rPr>
        <w:t>1.2. Thu nội địa:</w:t>
      </w:r>
      <w:r w:rsidRPr="00C96B12">
        <w:rPr>
          <w:rFonts w:ascii="Times New Roman" w:hAnsi="Times New Roman" w:cs="Times New Roman"/>
          <w:sz w:val="28"/>
          <w:szCs w:val="28"/>
        </w:rPr>
        <w:t xml:space="preserve"> </w:t>
      </w:r>
      <w:bookmarkStart w:id="1" w:name="_Hlk184287288"/>
      <w:r w:rsidRPr="00C96B12">
        <w:rPr>
          <w:rFonts w:ascii="Times New Roman" w:hAnsi="Times New Roman" w:cs="Times New Roman"/>
          <w:sz w:val="28"/>
          <w:szCs w:val="28"/>
        </w:rPr>
        <w:t>thực hiện 17.736 tỷ đồng, vượt 21,5% dự toán và tăng 15,2% so với cùng kỳ</w:t>
      </w:r>
      <w:bookmarkEnd w:id="1"/>
      <w:r w:rsidRPr="00C96B12">
        <w:rPr>
          <w:rFonts w:ascii="Times New Roman" w:hAnsi="Times New Roman" w:cs="Times New Roman"/>
          <w:sz w:val="28"/>
          <w:szCs w:val="28"/>
        </w:rPr>
        <w:t xml:space="preserve">. Nếu loại trừ thu tiền sử dụng đất, thu nội địa thực hiện 16.324 tỷ đồng, vượt 27,5% dự toán và tăng 18,4% so với cùng kỳ. </w:t>
      </w:r>
      <w:r w:rsidRPr="00C96B12">
        <w:rPr>
          <w:rFonts w:ascii="Times New Roman" w:hAnsi="Times New Roman" w:cs="Times New Roman"/>
          <w:sz w:val="28"/>
          <w:szCs w:val="28"/>
          <w:lang w:val="vi-VN"/>
        </w:rPr>
        <w:t>Đánh giá tình hình thực hiện theo nhóm thu như sau:</w:t>
      </w:r>
    </w:p>
    <w:p w14:paraId="02DE7FED"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b/>
          <w:color w:val="000000"/>
          <w:sz w:val="28"/>
          <w:szCs w:val="28"/>
        </w:rPr>
        <w:t>a) Đối với nhóm thu từ hoạt động sản xuất kinh doanh, thương mại, dịch vụ và du lịch:</w:t>
      </w:r>
      <w:r w:rsidRPr="00C96B12">
        <w:rPr>
          <w:rFonts w:ascii="Times New Roman" w:hAnsi="Times New Roman" w:cs="Times New Roman"/>
          <w:color w:val="000000"/>
          <w:sz w:val="28"/>
          <w:szCs w:val="28"/>
        </w:rPr>
        <w:t xml:space="preserve"> thực hiện 11.961 tỷ đồng, vượt 9,4% dự toán và tăng 8,7% so với cùng kỳ.</w:t>
      </w:r>
    </w:p>
    <w:p w14:paraId="2CDE55B4"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Cụ thể từng khoản thu như sau:</w:t>
      </w:r>
    </w:p>
    <w:p w14:paraId="688AB37B" w14:textId="77777777" w:rsidR="00C96B12" w:rsidRPr="00C96B12" w:rsidRDefault="00C96B12" w:rsidP="00C96B12">
      <w:pPr>
        <w:tabs>
          <w:tab w:val="left" w:pos="567"/>
        </w:tabs>
        <w:spacing w:before="60" w:after="60" w:line="240" w:lineRule="auto"/>
        <w:ind w:firstLine="567"/>
        <w:jc w:val="both"/>
        <w:rPr>
          <w:rFonts w:ascii="Times New Roman" w:hAnsi="Times New Roman" w:cs="Times New Roman"/>
          <w:sz w:val="28"/>
          <w:szCs w:val="28"/>
        </w:rPr>
      </w:pPr>
      <w:r w:rsidRPr="00C96B12">
        <w:rPr>
          <w:rFonts w:ascii="Times New Roman" w:hAnsi="Times New Roman" w:cs="Times New Roman"/>
          <w:color w:val="000000"/>
          <w:sz w:val="28"/>
          <w:szCs w:val="28"/>
        </w:rPr>
        <w:tab/>
        <w:t xml:space="preserve">- Thu từ DNNN Trung ương: thực hiện 524 tỷ đồng, vượt 23,4% dự toán và tăng 16,5% so với cùng kỳ. </w:t>
      </w:r>
      <w:r w:rsidRPr="00C96B12">
        <w:rPr>
          <w:rFonts w:ascii="Times New Roman" w:hAnsi="Times New Roman" w:cs="Times New Roman"/>
          <w:sz w:val="28"/>
          <w:szCs w:val="28"/>
        </w:rPr>
        <w:t>Nguyên nhân tăng là do Tổng công ty truyền tải điện Quốc gia phát sinh tăng 28,8 tỷ đồng do phân bổ thuế TNDN về địa phương; nhóm Ngân hàng do kê khai bổ sung thuế GTGT đối với dịch vụ thư tín dụng (L/C), đồng thời lượng khách du lịch tăng nên doanh thu về giao dịch thanh toán tăng (tăng khoảng 18,5 tỷ đồng). Ngoài ra, một số đơn vị có số nộp tăng như: Công ty CP Điện lực Khánh Hòa (tăng 16,9 tỷ đồng) tạm nộp thuế TNDN; Cảng hàng không Cam Ranh (tăng 13,4 tỷ đồng) và Chi nhánh Công ty CP Vicem Hà Tiên (tăng 4,7 tỷ đồng), tăng do cùng kỳ không phát sinh số nộp vì còn số khấu trừ lớn.</w:t>
      </w:r>
    </w:p>
    <w:p w14:paraId="2C146567" w14:textId="77777777" w:rsidR="00C96B12" w:rsidRPr="00C96B12" w:rsidRDefault="00C96B12" w:rsidP="00C96B12">
      <w:pPr>
        <w:tabs>
          <w:tab w:val="left" w:pos="700"/>
          <w:tab w:val="right" w:pos="6440"/>
          <w:tab w:val="right" w:pos="8680"/>
        </w:tabs>
        <w:spacing w:before="120" w:after="120" w:line="240" w:lineRule="auto"/>
        <w:ind w:firstLine="709"/>
        <w:jc w:val="both"/>
        <w:outlineLvl w:val="0"/>
        <w:rPr>
          <w:rFonts w:ascii="Times New Roman" w:hAnsi="Times New Roman" w:cs="Times New Roman"/>
          <w:color w:val="000000"/>
          <w:sz w:val="28"/>
          <w:szCs w:val="28"/>
        </w:rPr>
      </w:pPr>
      <w:r w:rsidRPr="00C96B12">
        <w:rPr>
          <w:rFonts w:ascii="Times New Roman" w:hAnsi="Times New Roman" w:cs="Times New Roman"/>
          <w:color w:val="000000"/>
          <w:sz w:val="28"/>
          <w:szCs w:val="28"/>
        </w:rPr>
        <w:tab/>
        <w:t>- Thu từ DNNN địa phương: thực hiện 3.701 tỷ đồng, đạt 99,1% dự toán và tăng 1,8% so với cùng kỳ; trong đó:</w:t>
      </w:r>
    </w:p>
    <w:p w14:paraId="2582F397"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 xml:space="preserve">+ Tổng công ty Khánh Việt thực hiện 3.395 tỷ đồng, vượt 9,5% so với dự toán và tăng 5,2% so với cùng kỳ. </w:t>
      </w:r>
    </w:p>
    <w:p w14:paraId="2BC7B329"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 Công ty TNHH MTV Yến Sào thực hiện 205,7 tỷ đồng, đạt 67,4% so với dự toán và đạt 67,1% so với cùng kỳ.</w:t>
      </w:r>
      <w:r w:rsidRPr="00C96B12">
        <w:rPr>
          <w:rFonts w:ascii="Times New Roman" w:hAnsi="Times New Roman" w:cs="Times New Roman"/>
          <w:sz w:val="28"/>
          <w:szCs w:val="28"/>
        </w:rPr>
        <w:t xml:space="preserve"> </w:t>
      </w:r>
    </w:p>
    <w:p w14:paraId="2730F46D"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lastRenderedPageBreak/>
        <w:t>+ Các doanh nghiệp còn lại thực hiện 101 tỷ đồng, đạt 30,8% dự toán và tăng 4,9% so với cùng kỳ.</w:t>
      </w:r>
    </w:p>
    <w:p w14:paraId="1C1DCCD8" w14:textId="77777777" w:rsidR="00C96B12" w:rsidRPr="00C96B12" w:rsidRDefault="00C96B12" w:rsidP="00C96B12">
      <w:pPr>
        <w:spacing w:before="120" w:after="120" w:line="240" w:lineRule="auto"/>
        <w:ind w:firstLine="709"/>
        <w:jc w:val="both"/>
        <w:rPr>
          <w:rFonts w:ascii="Times New Roman" w:hAnsi="Times New Roman" w:cs="Times New Roman"/>
          <w:sz w:val="28"/>
          <w:szCs w:val="28"/>
          <w:lang w:val="nl-NL"/>
        </w:rPr>
      </w:pPr>
      <w:r w:rsidRPr="00C96B12">
        <w:rPr>
          <w:rFonts w:ascii="Times New Roman" w:hAnsi="Times New Roman" w:cs="Times New Roman"/>
          <w:color w:val="000000"/>
          <w:sz w:val="28"/>
          <w:szCs w:val="28"/>
        </w:rPr>
        <w:t xml:space="preserve">- Thu từ DN có vốn đầu tư nước ngoài: thực hiện 1.065 tỷ đồng, vượt 14,5% dự toán và tăng 33% so với cùng kỳ. </w:t>
      </w:r>
      <w:r w:rsidRPr="00C96B12">
        <w:rPr>
          <w:rFonts w:ascii="Times New Roman" w:hAnsi="Times New Roman" w:cs="Times New Roman"/>
          <w:sz w:val="28"/>
          <w:szCs w:val="28"/>
        </w:rPr>
        <w:t xml:space="preserve">Trong đó phát sinh tăng đột biến của Công ty TNHH Điện lực Vân Phong nộp quyết toán thuế TNDN 97,5 tỷ đồng; Công ty CP chăn nuôi C.P Việt Nam tăng 24,4 tỷ đồng từ số thuế phân bổ của công ty mẹ về địa phương; Công ty TNHH đóng tàu HD Hyundai Việt Nam tăng 21,9 tỷ đồng từ tạm nộp thuế TNDN, cùng kỳ DN vẫn còn được hưởng ưu đãi thuế TNDN nên phát sinh số nộp thấp, tăng đột biến của Công ty TNHH Fusion Resort Nha Trang Holdings nộp chuyển nhượng vốn vào Công ty Tài Thành Công 31,6 tỷ đồng và nhóm các DN nộp hộ nhà thầu BOT Vân Phong nộp tăng 25 tỷ đồng </w:t>
      </w:r>
      <w:r w:rsidRPr="00C96B12">
        <w:rPr>
          <w:rFonts w:ascii="Times New Roman" w:hAnsi="Times New Roman" w:cs="Times New Roman"/>
          <w:sz w:val="28"/>
          <w:szCs w:val="28"/>
          <w:lang w:val="nl-NL"/>
        </w:rPr>
        <w:t>từ lãi vay và thanh toán giai đoạn cuối của dự án</w:t>
      </w:r>
      <w:r w:rsidRPr="00C96B12">
        <w:rPr>
          <w:rFonts w:ascii="Times New Roman" w:hAnsi="Times New Roman" w:cs="Times New Roman"/>
          <w:sz w:val="28"/>
          <w:szCs w:val="28"/>
        </w:rPr>
        <w:t>.</w:t>
      </w:r>
    </w:p>
    <w:p w14:paraId="3E484CBE" w14:textId="77777777" w:rsidR="00C96B12" w:rsidRPr="00C96B12" w:rsidRDefault="00C96B12" w:rsidP="00C96B12">
      <w:pPr>
        <w:spacing w:before="120" w:after="120" w:line="240" w:lineRule="auto"/>
        <w:ind w:right="2" w:firstLine="709"/>
        <w:jc w:val="both"/>
        <w:rPr>
          <w:rFonts w:ascii="Times New Roman" w:hAnsi="Times New Roman" w:cs="Times New Roman"/>
          <w:i/>
          <w:sz w:val="28"/>
          <w:szCs w:val="28"/>
          <w:lang w:val="nl-NL"/>
        </w:rPr>
      </w:pPr>
      <w:r w:rsidRPr="00C96B12">
        <w:rPr>
          <w:rFonts w:ascii="Times New Roman" w:hAnsi="Times New Roman" w:cs="Times New Roman"/>
          <w:color w:val="000000"/>
          <w:sz w:val="28"/>
          <w:szCs w:val="28"/>
        </w:rPr>
        <w:t xml:space="preserve">- Thu từ khu vực CTN ngoài quốc doanh: thực hiện 4.179 tỷ đồng, vượt 15% dự toán và tăng 11,2% so với cùng kỳ. </w:t>
      </w:r>
      <w:r w:rsidRPr="00C96B12">
        <w:rPr>
          <w:rFonts w:ascii="Times New Roman" w:hAnsi="Times New Roman" w:cs="Times New Roman"/>
          <w:sz w:val="28"/>
          <w:szCs w:val="28"/>
        </w:rPr>
        <w:t xml:space="preserve">Số tăng chủ yếu ở một số DN trọng điểm như: Công ty CP Vega city nộp tăng 88,6 tỷ đồng do tăng thu từ hoạt động kinh doanh BĐS; Chi nhánh Nha Trang – Công ty CP Vinpearl nộp tăng đột biến 74,1 do nộp tăng thuế tài nguyên (nộp truy thu qua TTKT là 33,2 tỷ đồng và nộp bổ sung các năm trước là 30 tỷ đồng); </w:t>
      </w:r>
      <w:r w:rsidRPr="00C96B12">
        <w:rPr>
          <w:rFonts w:ascii="Times New Roman" w:hAnsi="Times New Roman" w:cs="Times New Roman"/>
          <w:bCs/>
          <w:sz w:val="28"/>
          <w:szCs w:val="28"/>
        </w:rPr>
        <w:t xml:space="preserve">Công ty CP Hải Vân Nam Nha Trang nộp tăng 46,3 tỷ đồng, trong đó thuế TNDN tăng 34 tỷ đồng so cùng kỳ; Công ty CP Vinpearl nộp tăng 33,1 tỷ đồng thuế TNDN </w:t>
      </w:r>
      <w:r w:rsidRPr="00C96B12">
        <w:rPr>
          <w:rFonts w:ascii="Times New Roman" w:hAnsi="Times New Roman" w:cs="Times New Roman"/>
          <w:sz w:val="28"/>
          <w:szCs w:val="28"/>
        </w:rPr>
        <w:t>do tăng thu từ hoạt động kinh doanh BĐS; công ty Bia Sài Gòn – Khánh Hòa thực hiện cả năm 443,6 tỷ đồng</w:t>
      </w:r>
      <w:r w:rsidRPr="00C96B12">
        <w:rPr>
          <w:rFonts w:ascii="Times New Roman" w:hAnsi="Times New Roman" w:cs="Times New Roman"/>
          <w:sz w:val="28"/>
          <w:szCs w:val="28"/>
          <w:lang w:val="nl-NL"/>
        </w:rPr>
        <w:t xml:space="preserve">, tăng 63 tỷ đồng so với cùng kỳ. </w:t>
      </w:r>
    </w:p>
    <w:p w14:paraId="76B4D96E"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 Thuế thu nhập cá nhân: thực hiện 1.573 tỷ đồng, tăng 21% dự toán và tăng 15,2% so với cùng kỳ</w:t>
      </w:r>
      <w:r w:rsidRPr="00C96B12">
        <w:rPr>
          <w:rStyle w:val="FootnoteReference"/>
          <w:rFonts w:ascii="Times New Roman" w:hAnsi="Times New Roman" w:cs="Times New Roman"/>
          <w:sz w:val="28"/>
          <w:szCs w:val="28"/>
          <w:lang w:val="vi-VN"/>
        </w:rPr>
        <w:t xml:space="preserve"> </w:t>
      </w:r>
      <w:r w:rsidRPr="00C96B12">
        <w:rPr>
          <w:rStyle w:val="FootnoteReference"/>
          <w:rFonts w:ascii="Times New Roman" w:hAnsi="Times New Roman" w:cs="Times New Roman"/>
          <w:sz w:val="28"/>
          <w:szCs w:val="28"/>
          <w:lang w:val="vi-VN"/>
        </w:rPr>
        <w:footnoteReference w:id="1"/>
      </w:r>
      <w:r w:rsidRPr="00C96B12">
        <w:rPr>
          <w:rFonts w:ascii="Times New Roman" w:hAnsi="Times New Roman" w:cs="Times New Roman"/>
          <w:color w:val="000000"/>
          <w:sz w:val="28"/>
          <w:szCs w:val="28"/>
        </w:rPr>
        <w:t xml:space="preserve">. </w:t>
      </w:r>
    </w:p>
    <w:p w14:paraId="13064AF2"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 Thu xổ số kiến thiết: thực hiện 308 tỷ đồng, vượt 16,3% dự toán và tăng 2,7% so cùng kỳ.</w:t>
      </w:r>
      <w:r w:rsidRPr="00C96B12">
        <w:rPr>
          <w:rFonts w:ascii="Times New Roman" w:hAnsi="Times New Roman" w:cs="Times New Roman"/>
          <w:sz w:val="28"/>
          <w:szCs w:val="28"/>
        </w:rPr>
        <w:t xml:space="preserve"> </w:t>
      </w:r>
      <w:r w:rsidRPr="00C96B12">
        <w:rPr>
          <w:rFonts w:ascii="Times New Roman" w:hAnsi="Times New Roman" w:cs="Times New Roman"/>
          <w:color w:val="000000"/>
          <w:sz w:val="28"/>
          <w:szCs w:val="28"/>
        </w:rPr>
        <w:t>Trong đó công ty TNHH MTV XSKT Khánh Hòa thực hiện 280 tỷ đồng, vượt 12,1% dự toán và bằng 100% so với cùng kỳ, công ty Xổ số điện toán thực hiện 28 tỷ đồng, vượt 84,7% dự toán và tăng 41,5% so với cùng kỳ.</w:t>
      </w:r>
    </w:p>
    <w:p w14:paraId="7375F4A9" w14:textId="77777777" w:rsidR="00C96B12" w:rsidRPr="00C96B12" w:rsidRDefault="00C96B12" w:rsidP="00C96B12">
      <w:pPr>
        <w:tabs>
          <w:tab w:val="left" w:pos="567"/>
        </w:tabs>
        <w:spacing w:before="120" w:after="120" w:line="240" w:lineRule="auto"/>
        <w:ind w:firstLine="567"/>
        <w:jc w:val="both"/>
        <w:rPr>
          <w:rFonts w:ascii="Times New Roman" w:hAnsi="Times New Roman" w:cs="Times New Roman"/>
          <w:sz w:val="28"/>
          <w:szCs w:val="28"/>
          <w:lang w:val="vi-VN"/>
        </w:rPr>
      </w:pPr>
      <w:r w:rsidRPr="00C96B12">
        <w:rPr>
          <w:rFonts w:ascii="Times New Roman" w:hAnsi="Times New Roman" w:cs="Times New Roman"/>
          <w:color w:val="000000"/>
          <w:sz w:val="28"/>
          <w:szCs w:val="28"/>
        </w:rPr>
        <w:t>- Thuế bảo vệ môi trường: thực hiện 610 tỷ đồng, đạt 94,5% dự toán và bằng 88,2% so cùng kỳ</w:t>
      </w:r>
      <w:r w:rsidRPr="00C96B12">
        <w:rPr>
          <w:rFonts w:ascii="Times New Roman" w:hAnsi="Times New Roman" w:cs="Times New Roman"/>
          <w:sz w:val="28"/>
          <w:szCs w:val="28"/>
          <w:lang w:val="vi-VN"/>
        </w:rPr>
        <w:t>.</w:t>
      </w:r>
      <w:r w:rsidRPr="00C96B12">
        <w:rPr>
          <w:rFonts w:ascii="Times New Roman" w:hAnsi="Times New Roman" w:cs="Times New Roman"/>
          <w:sz w:val="28"/>
          <w:szCs w:val="28"/>
          <w:lang w:val="nl-NL"/>
        </w:rPr>
        <w:t xml:space="preserve"> </w:t>
      </w:r>
      <w:r w:rsidRPr="00C96B12">
        <w:rPr>
          <w:rFonts w:ascii="Times New Roman" w:hAnsi="Times New Roman" w:cs="Times New Roman"/>
          <w:sz w:val="28"/>
          <w:szCs w:val="28"/>
          <w:lang w:val="vi-VN"/>
        </w:rPr>
        <w:t xml:space="preserve"> </w:t>
      </w:r>
    </w:p>
    <w:p w14:paraId="0F37F3EE" w14:textId="77777777" w:rsidR="00C96B12" w:rsidRPr="00C96B12" w:rsidRDefault="00C96B12" w:rsidP="00C96B12">
      <w:pPr>
        <w:spacing w:before="120" w:after="120" w:line="240" w:lineRule="auto"/>
        <w:ind w:right="2" w:firstLine="851"/>
        <w:jc w:val="both"/>
        <w:rPr>
          <w:rFonts w:ascii="Times New Roman" w:hAnsi="Times New Roman" w:cs="Times New Roman"/>
          <w:b/>
          <w:color w:val="000000"/>
          <w:sz w:val="28"/>
          <w:szCs w:val="28"/>
        </w:rPr>
      </w:pPr>
      <w:r w:rsidRPr="00C96B12">
        <w:rPr>
          <w:rFonts w:ascii="Times New Roman" w:hAnsi="Times New Roman" w:cs="Times New Roman"/>
          <w:b/>
          <w:color w:val="000000"/>
          <w:sz w:val="28"/>
          <w:szCs w:val="28"/>
        </w:rPr>
        <w:t xml:space="preserve">b) Các khoản thu từ nhà và đất: </w:t>
      </w:r>
      <w:r w:rsidRPr="00C96B12">
        <w:rPr>
          <w:rFonts w:ascii="Times New Roman" w:hAnsi="Times New Roman" w:cs="Times New Roman"/>
          <w:color w:val="000000"/>
          <w:sz w:val="28"/>
          <w:szCs w:val="28"/>
        </w:rPr>
        <w:t>thực hiện 3.844 tỷ đồng, vượt 75,5% dự toán, tăng 58,8% so với cùng kỳ. Cụ thể từng khoản thu như sau:</w:t>
      </w:r>
    </w:p>
    <w:p w14:paraId="7095A0BD"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 Thuế sử dụng đất phi nông nghiệp: lũy kế thực hiện 28 tỷ đồng, vượt 54,6% dự toán, tăng 6% so với cùng kỳ.</w:t>
      </w:r>
    </w:p>
    <w:p w14:paraId="3744641A" w14:textId="77777777" w:rsidR="00C96B12" w:rsidRPr="00C96B12" w:rsidRDefault="00C96B12" w:rsidP="00C96B12">
      <w:pPr>
        <w:tabs>
          <w:tab w:val="left" w:pos="709"/>
          <w:tab w:val="right" w:pos="6440"/>
          <w:tab w:val="right" w:pos="8680"/>
        </w:tabs>
        <w:spacing w:before="120" w:after="120" w:line="240" w:lineRule="auto"/>
        <w:ind w:firstLine="709"/>
        <w:jc w:val="both"/>
        <w:rPr>
          <w:rFonts w:ascii="Times New Roman" w:hAnsi="Times New Roman" w:cs="Times New Roman"/>
          <w:spacing w:val="-6"/>
          <w:sz w:val="28"/>
          <w:szCs w:val="28"/>
          <w:lang w:val="vi-VN"/>
        </w:rPr>
      </w:pPr>
      <w:r w:rsidRPr="00C96B12">
        <w:rPr>
          <w:rFonts w:ascii="Times New Roman" w:hAnsi="Times New Roman" w:cs="Times New Roman"/>
          <w:color w:val="000000"/>
          <w:sz w:val="28"/>
          <w:szCs w:val="28"/>
        </w:rPr>
        <w:tab/>
        <w:t>- Thu tiền sử dụng đất: thực hiện 1.411 tỷ, đạt 78,4% dự toán và bằng 87,3% so với cùng kỳ.</w:t>
      </w:r>
    </w:p>
    <w:p w14:paraId="55C11395" w14:textId="77777777" w:rsidR="00C96B12" w:rsidRPr="00C96B12" w:rsidRDefault="00C96B12" w:rsidP="00C96B12">
      <w:pPr>
        <w:tabs>
          <w:tab w:val="left" w:pos="709"/>
          <w:tab w:val="right" w:pos="6440"/>
          <w:tab w:val="right" w:pos="8680"/>
        </w:tabs>
        <w:spacing w:before="120" w:after="120" w:line="240" w:lineRule="auto"/>
        <w:ind w:firstLine="709"/>
        <w:contextualSpacing/>
        <w:jc w:val="both"/>
        <w:rPr>
          <w:rFonts w:ascii="Times New Roman" w:hAnsi="Times New Roman" w:cs="Times New Roman"/>
          <w:sz w:val="28"/>
          <w:szCs w:val="28"/>
          <w:lang w:val="nl-NL"/>
        </w:rPr>
      </w:pPr>
      <w:r w:rsidRPr="00C96B12">
        <w:rPr>
          <w:rFonts w:ascii="Times New Roman" w:hAnsi="Times New Roman" w:cs="Times New Roman"/>
          <w:color w:val="000000"/>
          <w:sz w:val="28"/>
          <w:szCs w:val="28"/>
        </w:rPr>
        <w:tab/>
        <w:t>- Thu tiền thuê mặt đất, mặt nước: thực hiện 2.378 tỷ đồng, tăng gấp 6,7 lần dự toán và tăng gấp 3,2 lần so với cùng kỳ</w:t>
      </w:r>
      <w:r w:rsidRPr="00C96B12">
        <w:rPr>
          <w:rFonts w:ascii="Times New Roman" w:hAnsi="Times New Roman" w:cs="Times New Roman"/>
          <w:sz w:val="28"/>
          <w:szCs w:val="28"/>
          <w:lang w:val="nl-NL"/>
        </w:rPr>
        <w:t xml:space="preserve">. Nguyên nhân là do </w:t>
      </w:r>
      <w:r w:rsidRPr="00C96B12">
        <w:rPr>
          <w:rFonts w:ascii="Times New Roman" w:hAnsi="Times New Roman" w:cs="Times New Roman"/>
          <w:sz w:val="28"/>
          <w:szCs w:val="28"/>
        </w:rPr>
        <w:t xml:space="preserve">tăng đột biến của </w:t>
      </w:r>
      <w:r w:rsidRPr="00C96B12">
        <w:rPr>
          <w:rFonts w:ascii="Times New Roman" w:hAnsi="Times New Roman" w:cs="Times New Roman"/>
          <w:sz w:val="28"/>
          <w:szCs w:val="28"/>
        </w:rPr>
        <w:lastRenderedPageBreak/>
        <w:t>Công ty CP Vinpearl nộp cho Dự án Vinpearl Phú Quý tại phường Vĩnh Nguyên và phường Vĩnh Trường (Nộp 1 lần là 1.354,3 tỷ đồng; nộp hằng năm là 26,5 tỷ đồng); Công ty CP Vinwonders Nha Trang nộp tiền thuê đất 1 lần 535 tỷ đồng đồng cho Dự án Công viên văn hóa Vinwonders</w:t>
      </w:r>
      <w:r w:rsidRPr="00C96B12">
        <w:rPr>
          <w:rFonts w:ascii="Times New Roman" w:hAnsi="Times New Roman" w:cs="Times New Roman"/>
          <w:sz w:val="28"/>
          <w:szCs w:val="28"/>
          <w:lang w:val="nl-NL"/>
        </w:rPr>
        <w:t>.</w:t>
      </w:r>
    </w:p>
    <w:p w14:paraId="6B1928AC"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ab/>
        <w:t>- Thu từ quỹ đất công ích và thu hoa lợi công sản: lũy kế thực hiện 16 tỷ đồng, đạt 82% dự toán, tăng 0,8% so với cùng kỳ.</w:t>
      </w:r>
    </w:p>
    <w:p w14:paraId="3F3A3DC1"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ab/>
        <w:t>- Thu tiền bán nhà và thuê nhà thuộc sở hữu nhà nước: lũy kế thực hiện 11 tỷ đồng và tăng gấp 5 lần so với dự toán.</w:t>
      </w:r>
    </w:p>
    <w:p w14:paraId="385FE4EA"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b/>
          <w:color w:val="000000"/>
          <w:sz w:val="28"/>
          <w:szCs w:val="28"/>
        </w:rPr>
        <w:tab/>
        <w:t xml:space="preserve">c) Các khoản phí và thu khác: </w:t>
      </w:r>
      <w:r w:rsidRPr="00C96B12">
        <w:rPr>
          <w:rFonts w:ascii="Times New Roman" w:hAnsi="Times New Roman" w:cs="Times New Roman"/>
          <w:color w:val="000000"/>
          <w:sz w:val="28"/>
          <w:szCs w:val="28"/>
        </w:rPr>
        <w:t>thực hiện 1.813 tỷ đồng, vượt 49,4% dự toán và tăng 22,8% so với cùng kỳ.</w:t>
      </w:r>
    </w:p>
    <w:p w14:paraId="51DDA9A4"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Cụ thể từng khoản thu như sau:</w:t>
      </w:r>
    </w:p>
    <w:p w14:paraId="3FC1E11A"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color w:val="000000"/>
          <w:sz w:val="28"/>
          <w:szCs w:val="28"/>
        </w:rPr>
        <w:tab/>
        <w:t xml:space="preserve">- Lệ phí trước bạ: thực hiện 532 tỷ đồng, vượt 14,4% dự toán và tăng 18,2% so cùng kỳ. </w:t>
      </w:r>
      <w:r w:rsidRPr="00C96B12">
        <w:rPr>
          <w:rFonts w:ascii="Times New Roman" w:hAnsi="Times New Roman" w:cs="Times New Roman"/>
          <w:sz w:val="28"/>
          <w:szCs w:val="28"/>
        </w:rPr>
        <w:t>Trong đó chủ yếu của LPTB nhà đất 123 tỷ đồng, tăng 45 tỷ đồng so với cùng kỳ do hoạt động BĐS ổn định hơn so cùng kỳ; LPTB ô tô 346 tỷ đồng tăng 37 tỷ đồng do áp dụng chính sách giảm LPTB đối với ô tô sản xuất lắp ráp trong nước nhằm kích cầu thị trường tiêu dùng.</w:t>
      </w:r>
    </w:p>
    <w:p w14:paraId="0BE58B33" w14:textId="77777777" w:rsidR="00C96B12" w:rsidRPr="00C96B12" w:rsidRDefault="00C96B12" w:rsidP="00C96B12">
      <w:pPr>
        <w:tabs>
          <w:tab w:val="left" w:pos="700"/>
          <w:tab w:val="right" w:pos="6440"/>
          <w:tab w:val="right" w:pos="8680"/>
        </w:tabs>
        <w:spacing w:before="120" w:after="120" w:line="240" w:lineRule="auto"/>
        <w:ind w:firstLine="709"/>
        <w:jc w:val="both"/>
        <w:outlineLvl w:val="0"/>
        <w:rPr>
          <w:rFonts w:ascii="Times New Roman" w:hAnsi="Times New Roman" w:cs="Times New Roman"/>
          <w:sz w:val="28"/>
          <w:szCs w:val="28"/>
          <w:lang w:val="vi-VN"/>
        </w:rPr>
      </w:pPr>
      <w:r w:rsidRPr="00C96B12">
        <w:rPr>
          <w:rFonts w:ascii="Times New Roman" w:hAnsi="Times New Roman" w:cs="Times New Roman"/>
          <w:sz w:val="28"/>
          <w:szCs w:val="28"/>
        </w:rPr>
        <w:t xml:space="preserve">- </w:t>
      </w:r>
      <w:r w:rsidRPr="00C96B12">
        <w:rPr>
          <w:rFonts w:ascii="Times New Roman" w:hAnsi="Times New Roman" w:cs="Times New Roman"/>
          <w:sz w:val="28"/>
          <w:szCs w:val="28"/>
          <w:lang w:val="vi-VN"/>
        </w:rPr>
        <w:t xml:space="preserve">Thu phí, lệ phí: </w:t>
      </w:r>
      <w:r w:rsidRPr="00C96B12">
        <w:rPr>
          <w:rFonts w:ascii="Times New Roman" w:hAnsi="Times New Roman" w:cs="Times New Roman"/>
          <w:color w:val="000000"/>
          <w:sz w:val="28"/>
          <w:szCs w:val="28"/>
        </w:rPr>
        <w:t xml:space="preserve">thực hiện 626 tỷ đồng, tăng 90,7% dự toán và tăng 35,5% </w:t>
      </w:r>
      <w:r w:rsidRPr="00C96B12">
        <w:rPr>
          <w:rFonts w:ascii="Times New Roman" w:hAnsi="Times New Roman" w:cs="Times New Roman"/>
          <w:sz w:val="28"/>
          <w:szCs w:val="28"/>
          <w:lang w:val="vi-VN"/>
        </w:rPr>
        <w:t>so cùng kỳ</w:t>
      </w:r>
      <w:r w:rsidRPr="00C96B12">
        <w:rPr>
          <w:rFonts w:ascii="Times New Roman" w:hAnsi="Times New Roman" w:cs="Times New Roman"/>
          <w:sz w:val="28"/>
          <w:szCs w:val="28"/>
        </w:rPr>
        <w:t>. Trong đó phí cấp thị thực và giấy tờ liên quan xuất nhập cảnh cho người nước ngoài 287 tỷ đồng, tăng 163 tỷ đồng so với cùng kỳ, phát sinh số thu phí bảo vệ môi trường đối với nước thải công nghiệp được thu từ Công ty TNHH Điện lực Vân Phong là 35 tỷ đồng.</w:t>
      </w:r>
    </w:p>
    <w:p w14:paraId="0019D476" w14:textId="77777777" w:rsidR="00C96B12" w:rsidRPr="00C96B12" w:rsidRDefault="00C96B12" w:rsidP="00C96B12">
      <w:pPr>
        <w:tabs>
          <w:tab w:val="left" w:pos="567"/>
        </w:tabs>
        <w:spacing w:before="60" w:after="60" w:line="240" w:lineRule="auto"/>
        <w:ind w:firstLine="567"/>
        <w:jc w:val="both"/>
        <w:rPr>
          <w:rFonts w:ascii="Times New Roman" w:hAnsi="Times New Roman" w:cs="Times New Roman"/>
          <w:sz w:val="28"/>
          <w:szCs w:val="28"/>
        </w:rPr>
      </w:pPr>
      <w:r w:rsidRPr="00C96B12">
        <w:rPr>
          <w:rFonts w:ascii="Times New Roman" w:hAnsi="Times New Roman" w:cs="Times New Roman"/>
          <w:sz w:val="28"/>
          <w:szCs w:val="28"/>
          <w:lang w:val="vi-VN"/>
        </w:rPr>
        <w:tab/>
        <w:t xml:space="preserve">- Thu khác ngân sách: </w:t>
      </w:r>
      <w:r w:rsidRPr="00C96B12">
        <w:rPr>
          <w:rFonts w:ascii="Times New Roman" w:hAnsi="Times New Roman" w:cs="Times New Roman"/>
          <w:color w:val="000000"/>
          <w:sz w:val="28"/>
          <w:szCs w:val="28"/>
        </w:rPr>
        <w:t>thực hiện 580 tỷ đồng, vượt 52,6% dự toán</w:t>
      </w:r>
      <w:r w:rsidRPr="00C96B12">
        <w:rPr>
          <w:rFonts w:ascii="Times New Roman" w:hAnsi="Times New Roman" w:cs="Times New Roman"/>
          <w:i/>
          <w:sz w:val="28"/>
          <w:szCs w:val="28"/>
          <w:lang w:val="nl-NL"/>
        </w:rPr>
        <w:t xml:space="preserve"> </w:t>
      </w:r>
      <w:r w:rsidRPr="00C96B12">
        <w:rPr>
          <w:rFonts w:ascii="Times New Roman" w:hAnsi="Times New Roman" w:cs="Times New Roman"/>
          <w:sz w:val="28"/>
          <w:szCs w:val="28"/>
          <w:lang w:val="nl-NL"/>
        </w:rPr>
        <w:t>và</w:t>
      </w:r>
      <w:r w:rsidRPr="00C96B12">
        <w:rPr>
          <w:rFonts w:ascii="Times New Roman" w:hAnsi="Times New Roman" w:cs="Times New Roman"/>
          <w:sz w:val="28"/>
          <w:szCs w:val="28"/>
          <w:lang w:val="vi-VN"/>
        </w:rPr>
        <w:t xml:space="preserve"> tăng </w:t>
      </w:r>
      <w:r w:rsidRPr="00C96B12">
        <w:rPr>
          <w:rFonts w:ascii="Times New Roman" w:hAnsi="Times New Roman" w:cs="Times New Roman"/>
          <w:sz w:val="28"/>
          <w:szCs w:val="28"/>
        </w:rPr>
        <w:t>16,7</w:t>
      </w:r>
      <w:r w:rsidRPr="00C96B12">
        <w:rPr>
          <w:rFonts w:ascii="Times New Roman" w:hAnsi="Times New Roman" w:cs="Times New Roman"/>
          <w:sz w:val="28"/>
          <w:szCs w:val="28"/>
          <w:lang w:val="vi-VN"/>
        </w:rPr>
        <w:t>% so với cùng kỳ</w:t>
      </w:r>
      <w:r w:rsidRPr="00C96B12">
        <w:rPr>
          <w:rFonts w:ascii="Times New Roman" w:hAnsi="Times New Roman" w:cs="Times New Roman"/>
          <w:sz w:val="28"/>
          <w:szCs w:val="28"/>
        </w:rPr>
        <w:t>. Số phát sinh tăng do tăng do phát sinh khoản thu đột biến từ thu hồi khoản chi năm trước của Công ty CP Điện lực Khánh Hòa 64,5 tỷ đồng; Công ty CP Trần Thái Cam Ranh 17,7 tỷ đồng.</w:t>
      </w:r>
    </w:p>
    <w:p w14:paraId="79F8576E" w14:textId="77777777" w:rsidR="00C96B12" w:rsidRPr="00C96B12" w:rsidRDefault="00C96B12" w:rsidP="00C96B12">
      <w:pPr>
        <w:tabs>
          <w:tab w:val="left" w:pos="709"/>
          <w:tab w:val="right" w:pos="6440"/>
          <w:tab w:val="right" w:pos="8680"/>
        </w:tabs>
        <w:spacing w:before="120" w:after="120" w:line="240" w:lineRule="auto"/>
        <w:ind w:firstLine="709"/>
        <w:jc w:val="both"/>
        <w:rPr>
          <w:rFonts w:ascii="Times New Roman" w:hAnsi="Times New Roman" w:cs="Times New Roman"/>
          <w:sz w:val="28"/>
          <w:szCs w:val="28"/>
          <w:lang w:val="vi-VN"/>
        </w:rPr>
      </w:pPr>
      <w:r w:rsidRPr="00C96B12">
        <w:rPr>
          <w:rFonts w:ascii="Times New Roman" w:hAnsi="Times New Roman" w:cs="Times New Roman"/>
          <w:color w:val="000000"/>
          <w:sz w:val="28"/>
          <w:szCs w:val="28"/>
        </w:rPr>
        <w:tab/>
        <w:t xml:space="preserve">- Thu cấp quyền khai thác khoáng sản: lũy kế thực hiện 75 tỷ đồng, vượt 86,6% dự toán và </w:t>
      </w:r>
      <w:r w:rsidRPr="00C96B12">
        <w:rPr>
          <w:rFonts w:ascii="Times New Roman" w:hAnsi="Times New Roman" w:cs="Times New Roman"/>
          <w:sz w:val="28"/>
          <w:szCs w:val="28"/>
          <w:lang w:val="vi-VN"/>
        </w:rPr>
        <w:t xml:space="preserve">tăng </w:t>
      </w:r>
      <w:r w:rsidRPr="00C96B12">
        <w:rPr>
          <w:rFonts w:ascii="Times New Roman" w:hAnsi="Times New Roman" w:cs="Times New Roman"/>
          <w:sz w:val="28"/>
          <w:szCs w:val="28"/>
        </w:rPr>
        <w:t>12</w:t>
      </w:r>
      <w:r w:rsidRPr="00C96B12">
        <w:rPr>
          <w:rFonts w:ascii="Times New Roman" w:hAnsi="Times New Roman" w:cs="Times New Roman"/>
          <w:sz w:val="28"/>
          <w:szCs w:val="28"/>
          <w:lang w:val="vi-VN"/>
        </w:rPr>
        <w:t>% so với cùng k</w:t>
      </w:r>
      <w:r w:rsidRPr="00C96B12">
        <w:rPr>
          <w:rFonts w:ascii="Times New Roman" w:hAnsi="Times New Roman" w:cs="Times New Roman"/>
          <w:sz w:val="28"/>
          <w:szCs w:val="28"/>
        </w:rPr>
        <w:t>ỳ</w:t>
      </w:r>
      <w:r w:rsidRPr="00C96B12">
        <w:rPr>
          <w:rFonts w:ascii="Times New Roman" w:hAnsi="Times New Roman" w:cs="Times New Roman"/>
          <w:color w:val="000000"/>
          <w:sz w:val="28"/>
          <w:szCs w:val="28"/>
        </w:rPr>
        <w:t xml:space="preserve">. </w:t>
      </w:r>
    </w:p>
    <w:p w14:paraId="473F0961" w14:textId="77777777" w:rsidR="00C96B12" w:rsidRPr="00C96B12" w:rsidRDefault="00C96B12" w:rsidP="00C96B12">
      <w:pPr>
        <w:spacing w:before="120" w:after="120" w:line="240" w:lineRule="auto"/>
        <w:ind w:firstLine="709"/>
        <w:jc w:val="both"/>
        <w:rPr>
          <w:rFonts w:ascii="Times New Roman" w:hAnsi="Times New Roman" w:cs="Times New Roman"/>
          <w:color w:val="000000"/>
          <w:sz w:val="28"/>
          <w:szCs w:val="28"/>
        </w:rPr>
      </w:pPr>
      <w:r w:rsidRPr="00C96B12">
        <w:rPr>
          <w:rFonts w:ascii="Times New Roman" w:hAnsi="Times New Roman" w:cs="Times New Roman"/>
          <w:b/>
          <w:color w:val="000000"/>
          <w:sz w:val="28"/>
          <w:szCs w:val="28"/>
        </w:rPr>
        <w:t>d) Thu hồi vốn, lợi nhuận, lợi nhuận sau thuế, chênh lệch thu chi của NHNN:</w:t>
      </w:r>
      <w:r w:rsidRPr="00C96B12">
        <w:rPr>
          <w:rFonts w:ascii="Times New Roman" w:hAnsi="Times New Roman" w:cs="Times New Roman"/>
          <w:color w:val="000000"/>
          <w:sz w:val="28"/>
          <w:szCs w:val="28"/>
        </w:rPr>
        <w:t xml:space="preserve"> Lũy kế thực hiện 118 tỷ đồng đạt 44,6% dự toán, bằng 23,5% so với cùng kỳ. </w:t>
      </w:r>
    </w:p>
    <w:p w14:paraId="58579D70" w14:textId="77777777" w:rsidR="00C96B12" w:rsidRPr="00C96B12" w:rsidRDefault="00C96B12" w:rsidP="00C96B12">
      <w:pPr>
        <w:spacing w:before="120" w:after="120" w:line="240" w:lineRule="auto"/>
        <w:ind w:firstLine="709"/>
        <w:jc w:val="both"/>
        <w:rPr>
          <w:rFonts w:ascii="Times New Roman" w:hAnsi="Times New Roman" w:cs="Times New Roman"/>
          <w:b/>
          <w:sz w:val="28"/>
          <w:szCs w:val="28"/>
        </w:rPr>
      </w:pPr>
      <w:r w:rsidRPr="00C96B12">
        <w:rPr>
          <w:rFonts w:ascii="Times New Roman" w:hAnsi="Times New Roman" w:cs="Times New Roman"/>
          <w:b/>
          <w:sz w:val="28"/>
          <w:szCs w:val="28"/>
        </w:rPr>
        <w:t>2. Chi ngân sách địa phương:</w:t>
      </w:r>
    </w:p>
    <w:p w14:paraId="4D368042" w14:textId="3255B477" w:rsidR="00291720" w:rsidRPr="00291720" w:rsidRDefault="00291720" w:rsidP="00291720">
      <w:pPr>
        <w:spacing w:before="120" w:after="120" w:line="240" w:lineRule="auto"/>
        <w:ind w:firstLine="709"/>
        <w:jc w:val="both"/>
        <w:rPr>
          <w:rFonts w:ascii="Times New Roman" w:hAnsi="Times New Roman" w:cs="Times New Roman"/>
          <w:b/>
          <w:sz w:val="28"/>
          <w:szCs w:val="28"/>
          <w:lang w:val="vi-VN"/>
        </w:rPr>
      </w:pPr>
      <w:r w:rsidRPr="00291720">
        <w:rPr>
          <w:rFonts w:ascii="Times New Roman" w:hAnsi="Times New Roman" w:cs="Times New Roman"/>
          <w:sz w:val="28"/>
          <w:szCs w:val="28"/>
          <w:lang w:val="vi-VN"/>
        </w:rPr>
        <w:t xml:space="preserve">Tổng chi ngân sách địa phương năm </w:t>
      </w:r>
      <w:r w:rsidRPr="00291720">
        <w:rPr>
          <w:rFonts w:ascii="Times New Roman" w:hAnsi="Times New Roman" w:cs="Times New Roman"/>
          <w:sz w:val="28"/>
          <w:szCs w:val="28"/>
        </w:rPr>
        <w:t xml:space="preserve">2024 </w:t>
      </w:r>
      <w:r w:rsidRPr="00291720">
        <w:rPr>
          <w:rFonts w:ascii="Times New Roman" w:hAnsi="Times New Roman" w:cs="Times New Roman"/>
          <w:sz w:val="28"/>
          <w:szCs w:val="28"/>
          <w:lang w:val="vi-VN"/>
        </w:rPr>
        <w:t xml:space="preserve">là </w:t>
      </w:r>
      <w:r w:rsidRPr="00291720">
        <w:rPr>
          <w:rFonts w:ascii="Times New Roman" w:hAnsi="Times New Roman" w:cs="Times New Roman"/>
          <w:sz w:val="28"/>
          <w:szCs w:val="28"/>
        </w:rPr>
        <w:t>19.346</w:t>
      </w:r>
      <w:r w:rsidRPr="00291720">
        <w:rPr>
          <w:rFonts w:ascii="Times New Roman" w:hAnsi="Times New Roman" w:cs="Times New Roman"/>
          <w:sz w:val="28"/>
          <w:szCs w:val="28"/>
          <w:lang w:val="vi-VN"/>
        </w:rPr>
        <w:t xml:space="preserve"> tỷ đồng, </w:t>
      </w:r>
      <w:r w:rsidRPr="00291720">
        <w:rPr>
          <w:rFonts w:ascii="Times New Roman" w:hAnsi="Times New Roman" w:cs="Times New Roman"/>
          <w:sz w:val="28"/>
          <w:szCs w:val="28"/>
        </w:rPr>
        <w:t>tăng 12,5</w:t>
      </w:r>
      <w:r w:rsidRPr="00291720">
        <w:rPr>
          <w:rFonts w:ascii="Times New Roman" w:hAnsi="Times New Roman" w:cs="Times New Roman"/>
          <w:sz w:val="28"/>
          <w:szCs w:val="28"/>
          <w:lang w:val="vi-VN"/>
        </w:rPr>
        <w:t xml:space="preserve">% dự toán. Trong đó: </w:t>
      </w:r>
    </w:p>
    <w:p w14:paraId="3EE33F3E" w14:textId="77777777" w:rsidR="00291720" w:rsidRPr="00291720" w:rsidRDefault="00291720" w:rsidP="00291720">
      <w:pPr>
        <w:tabs>
          <w:tab w:val="left" w:pos="700"/>
          <w:tab w:val="right" w:pos="6440"/>
          <w:tab w:val="right" w:pos="8680"/>
        </w:tabs>
        <w:spacing w:before="120" w:after="120" w:line="240" w:lineRule="auto"/>
        <w:ind w:firstLine="709"/>
        <w:jc w:val="both"/>
        <w:outlineLvl w:val="0"/>
        <w:rPr>
          <w:rFonts w:ascii="Times New Roman" w:hAnsi="Times New Roman" w:cs="Times New Roman"/>
          <w:sz w:val="28"/>
          <w:szCs w:val="28"/>
        </w:rPr>
      </w:pPr>
      <w:r w:rsidRPr="00291720">
        <w:rPr>
          <w:rFonts w:ascii="Times New Roman" w:hAnsi="Times New Roman" w:cs="Times New Roman"/>
          <w:b/>
          <w:sz w:val="28"/>
          <w:szCs w:val="28"/>
          <w:lang w:val="vi-VN"/>
        </w:rPr>
        <w:t>a) Chi đầu tư phát triển</w:t>
      </w:r>
      <w:r w:rsidRPr="00291720">
        <w:rPr>
          <w:rFonts w:ascii="Times New Roman" w:hAnsi="Times New Roman" w:cs="Times New Roman"/>
          <w:sz w:val="28"/>
          <w:szCs w:val="28"/>
          <w:lang w:val="vi-VN"/>
        </w:rPr>
        <w:t xml:space="preserve"> thực hiện </w:t>
      </w:r>
      <w:r w:rsidRPr="00291720">
        <w:rPr>
          <w:rFonts w:ascii="Times New Roman" w:hAnsi="Times New Roman" w:cs="Times New Roman"/>
          <w:sz w:val="28"/>
          <w:szCs w:val="28"/>
        </w:rPr>
        <w:t>10.188</w:t>
      </w:r>
      <w:r w:rsidRPr="00291720">
        <w:rPr>
          <w:rFonts w:ascii="Times New Roman" w:hAnsi="Times New Roman" w:cs="Times New Roman"/>
          <w:sz w:val="28"/>
          <w:szCs w:val="28"/>
          <w:lang w:val="vi-VN"/>
        </w:rPr>
        <w:t xml:space="preserve"> tỷ đồng</w:t>
      </w:r>
      <w:r w:rsidRPr="00291720">
        <w:rPr>
          <w:rFonts w:ascii="Times New Roman" w:hAnsi="Times New Roman" w:cs="Times New Roman"/>
          <w:sz w:val="28"/>
          <w:szCs w:val="28"/>
        </w:rPr>
        <w:t xml:space="preserve">, </w:t>
      </w:r>
      <w:r w:rsidRPr="00291720">
        <w:rPr>
          <w:rFonts w:ascii="Times New Roman" w:hAnsi="Times New Roman" w:cs="Times New Roman"/>
          <w:sz w:val="28"/>
          <w:szCs w:val="28"/>
          <w:lang w:val="vi-VN"/>
        </w:rPr>
        <w:t>cụ thể từng nguồn vốn như sau:</w:t>
      </w:r>
    </w:p>
    <w:p w14:paraId="2EFDF59B" w14:textId="77777777" w:rsidR="00291720" w:rsidRPr="00291720" w:rsidRDefault="00291720" w:rsidP="00291720">
      <w:pPr>
        <w:tabs>
          <w:tab w:val="left" w:pos="700"/>
          <w:tab w:val="right" w:pos="6440"/>
          <w:tab w:val="right" w:pos="8680"/>
        </w:tabs>
        <w:spacing w:before="120" w:after="120" w:line="240" w:lineRule="auto"/>
        <w:ind w:firstLine="709"/>
        <w:jc w:val="both"/>
        <w:outlineLvl w:val="0"/>
        <w:rPr>
          <w:rFonts w:ascii="Times New Roman" w:hAnsi="Times New Roman" w:cs="Times New Roman"/>
          <w:sz w:val="28"/>
          <w:szCs w:val="28"/>
        </w:rPr>
      </w:pPr>
      <w:r w:rsidRPr="00291720">
        <w:rPr>
          <w:rFonts w:ascii="Times New Roman" w:hAnsi="Times New Roman" w:cs="Times New Roman"/>
          <w:sz w:val="28"/>
          <w:szCs w:val="28"/>
          <w:lang w:val="vi-VN"/>
        </w:rPr>
        <w:t xml:space="preserve">- Chi đầu tư từ nguồn dự toán thực hiện </w:t>
      </w:r>
      <w:r w:rsidRPr="00291720">
        <w:rPr>
          <w:rFonts w:ascii="Times New Roman" w:hAnsi="Times New Roman" w:cs="Times New Roman"/>
          <w:sz w:val="28"/>
          <w:szCs w:val="28"/>
        </w:rPr>
        <w:t>6.423</w:t>
      </w:r>
      <w:r w:rsidRPr="00291720">
        <w:rPr>
          <w:rFonts w:ascii="Times New Roman" w:hAnsi="Times New Roman" w:cs="Times New Roman"/>
          <w:sz w:val="28"/>
          <w:szCs w:val="28"/>
          <w:lang w:val="vi-VN"/>
        </w:rPr>
        <w:t xml:space="preserve"> tỷ đồng, đạt </w:t>
      </w:r>
      <w:r w:rsidRPr="00291720">
        <w:rPr>
          <w:rFonts w:ascii="Times New Roman" w:hAnsi="Times New Roman" w:cs="Times New Roman"/>
          <w:sz w:val="28"/>
          <w:szCs w:val="28"/>
        </w:rPr>
        <w:t>83,2</w:t>
      </w:r>
      <w:r w:rsidRPr="00291720">
        <w:rPr>
          <w:rFonts w:ascii="Times New Roman" w:hAnsi="Times New Roman" w:cs="Times New Roman"/>
          <w:sz w:val="28"/>
          <w:szCs w:val="28"/>
          <w:lang w:val="vi-VN"/>
        </w:rPr>
        <w:t>% dự toán.</w:t>
      </w:r>
      <w:r w:rsidRPr="00291720">
        <w:rPr>
          <w:rFonts w:ascii="Times New Roman" w:hAnsi="Times New Roman" w:cs="Times New Roman"/>
          <w:sz w:val="28"/>
          <w:szCs w:val="28"/>
        </w:rPr>
        <w:t xml:space="preserve"> (nếu loại trừ vốn trái phiếu Chính quyền địa phương 855,6 tỷ đồng số thực hiện đạt 92,8% dự toán). </w:t>
      </w:r>
    </w:p>
    <w:p w14:paraId="5FC40B1B" w14:textId="77777777" w:rsidR="00291720" w:rsidRPr="00291720" w:rsidRDefault="00291720" w:rsidP="00291720">
      <w:pPr>
        <w:tabs>
          <w:tab w:val="left" w:pos="700"/>
          <w:tab w:val="right" w:pos="6440"/>
          <w:tab w:val="right" w:pos="8680"/>
        </w:tabs>
        <w:spacing w:before="120" w:after="120" w:line="240" w:lineRule="auto"/>
        <w:ind w:firstLine="709"/>
        <w:jc w:val="both"/>
        <w:outlineLvl w:val="0"/>
        <w:rPr>
          <w:rFonts w:ascii="Times New Roman" w:hAnsi="Times New Roman" w:cs="Times New Roman"/>
          <w:sz w:val="28"/>
          <w:szCs w:val="28"/>
        </w:rPr>
      </w:pPr>
      <w:r w:rsidRPr="00291720">
        <w:rPr>
          <w:rFonts w:ascii="Times New Roman" w:hAnsi="Times New Roman" w:cs="Times New Roman"/>
          <w:sz w:val="28"/>
          <w:szCs w:val="28"/>
          <w:lang w:val="vi-VN"/>
        </w:rPr>
        <w:t xml:space="preserve">- Chi đầu tư từ nguồn bổ sung ngoài dự toán </w:t>
      </w:r>
      <w:r w:rsidRPr="00291720">
        <w:rPr>
          <w:rFonts w:ascii="Times New Roman" w:hAnsi="Times New Roman" w:cs="Times New Roman"/>
          <w:sz w:val="28"/>
          <w:szCs w:val="28"/>
        </w:rPr>
        <w:t>3.765</w:t>
      </w:r>
      <w:r w:rsidRPr="00291720">
        <w:rPr>
          <w:rFonts w:ascii="Times New Roman" w:hAnsi="Times New Roman" w:cs="Times New Roman"/>
          <w:sz w:val="28"/>
          <w:szCs w:val="28"/>
          <w:lang w:val="vi-VN"/>
        </w:rPr>
        <w:t xml:space="preserve"> tỷ đồng.</w:t>
      </w:r>
    </w:p>
    <w:p w14:paraId="7EEAF5CD" w14:textId="77777777" w:rsidR="00291720" w:rsidRPr="00291720" w:rsidRDefault="00291720" w:rsidP="00291720">
      <w:pPr>
        <w:tabs>
          <w:tab w:val="left" w:pos="700"/>
          <w:tab w:val="right" w:pos="6440"/>
          <w:tab w:val="right" w:pos="8680"/>
        </w:tabs>
        <w:spacing w:before="120" w:after="120" w:line="240" w:lineRule="auto"/>
        <w:ind w:firstLine="709"/>
        <w:jc w:val="both"/>
        <w:outlineLvl w:val="0"/>
        <w:rPr>
          <w:rFonts w:ascii="Times New Roman" w:hAnsi="Times New Roman" w:cs="Times New Roman"/>
          <w:sz w:val="28"/>
          <w:szCs w:val="28"/>
          <w:lang w:val="vi-VN"/>
        </w:rPr>
      </w:pPr>
      <w:r w:rsidRPr="00291720">
        <w:rPr>
          <w:rFonts w:ascii="Times New Roman" w:hAnsi="Times New Roman" w:cs="Times New Roman"/>
          <w:b/>
          <w:sz w:val="28"/>
          <w:szCs w:val="28"/>
          <w:lang w:val="vi-VN"/>
        </w:rPr>
        <w:lastRenderedPageBreak/>
        <w:t>b) Chi thường xuyên</w:t>
      </w:r>
      <w:r w:rsidRPr="00291720">
        <w:rPr>
          <w:rFonts w:ascii="Times New Roman" w:hAnsi="Times New Roman" w:cs="Times New Roman"/>
          <w:sz w:val="28"/>
          <w:szCs w:val="28"/>
          <w:lang w:val="vi-VN"/>
        </w:rPr>
        <w:t xml:space="preserve"> thực hiện </w:t>
      </w:r>
      <w:r w:rsidRPr="00291720">
        <w:rPr>
          <w:rFonts w:ascii="Times New Roman" w:hAnsi="Times New Roman" w:cs="Times New Roman"/>
          <w:sz w:val="28"/>
          <w:szCs w:val="28"/>
        </w:rPr>
        <w:t>9.083</w:t>
      </w:r>
      <w:r w:rsidRPr="00291720">
        <w:rPr>
          <w:rFonts w:ascii="Times New Roman" w:hAnsi="Times New Roman" w:cs="Times New Roman"/>
          <w:sz w:val="28"/>
          <w:szCs w:val="28"/>
          <w:lang w:val="vi-VN"/>
        </w:rPr>
        <w:t xml:space="preserve"> tỷ đồng, </w:t>
      </w:r>
      <w:r w:rsidRPr="00291720">
        <w:rPr>
          <w:rFonts w:ascii="Times New Roman" w:hAnsi="Times New Roman" w:cs="Times New Roman"/>
          <w:sz w:val="28"/>
          <w:szCs w:val="28"/>
        </w:rPr>
        <w:t>tăng</w:t>
      </w:r>
      <w:r w:rsidRPr="00291720">
        <w:rPr>
          <w:rFonts w:ascii="Times New Roman" w:hAnsi="Times New Roman" w:cs="Times New Roman"/>
          <w:sz w:val="28"/>
          <w:szCs w:val="28"/>
          <w:lang w:val="vi-VN"/>
        </w:rPr>
        <w:t xml:space="preserve"> </w:t>
      </w:r>
      <w:r w:rsidRPr="00291720">
        <w:rPr>
          <w:rFonts w:ascii="Times New Roman" w:hAnsi="Times New Roman" w:cs="Times New Roman"/>
          <w:sz w:val="28"/>
          <w:szCs w:val="28"/>
        </w:rPr>
        <w:t>0,7</w:t>
      </w:r>
      <w:r w:rsidRPr="00291720">
        <w:rPr>
          <w:rFonts w:ascii="Times New Roman" w:hAnsi="Times New Roman" w:cs="Times New Roman"/>
          <w:sz w:val="28"/>
          <w:szCs w:val="28"/>
          <w:lang w:val="vi-VN"/>
        </w:rPr>
        <w:t>% so với dự toán.</w:t>
      </w:r>
    </w:p>
    <w:p w14:paraId="2C637D8D" w14:textId="7AFB18FF" w:rsidR="00C96B12" w:rsidRDefault="00C96B12" w:rsidP="00C96B12">
      <w:pPr>
        <w:spacing w:before="120" w:after="120" w:line="240" w:lineRule="auto"/>
        <w:ind w:firstLine="709"/>
        <w:jc w:val="center"/>
        <w:rPr>
          <w:rFonts w:ascii="Times New Roman" w:hAnsi="Times New Roman" w:cs="Times New Roman"/>
          <w:i/>
          <w:sz w:val="28"/>
          <w:szCs w:val="28"/>
          <w:lang w:val="nl-NL" w:eastAsia="ar-SA"/>
        </w:rPr>
      </w:pPr>
      <w:r w:rsidRPr="00C96B12">
        <w:rPr>
          <w:rFonts w:ascii="Times New Roman" w:hAnsi="Times New Roman" w:cs="Times New Roman"/>
          <w:i/>
          <w:sz w:val="28"/>
          <w:szCs w:val="28"/>
          <w:lang w:val="nl-NL" w:eastAsia="ar-SA"/>
        </w:rPr>
        <w:t>(</w:t>
      </w:r>
      <w:r w:rsidR="000F1E44">
        <w:rPr>
          <w:rFonts w:ascii="Times New Roman" w:hAnsi="Times New Roman" w:cs="Times New Roman"/>
          <w:i/>
          <w:sz w:val="28"/>
          <w:szCs w:val="28"/>
          <w:lang w:val="nl-NL" w:eastAsia="ar-SA"/>
        </w:rPr>
        <w:t>Số liệu thu NSNN và chi NSĐP</w:t>
      </w:r>
      <w:r w:rsidRPr="00C96B12">
        <w:rPr>
          <w:rFonts w:ascii="Times New Roman" w:hAnsi="Times New Roman" w:cs="Times New Roman"/>
          <w:i/>
          <w:sz w:val="28"/>
          <w:szCs w:val="28"/>
          <w:lang w:val="nl-NL" w:eastAsia="ar-SA"/>
        </w:rPr>
        <w:t xml:space="preserve"> đính kèm)</w:t>
      </w:r>
    </w:p>
    <w:p w14:paraId="0DFAF5BC" w14:textId="178B8682" w:rsidR="000F1E44" w:rsidRPr="000F1E44" w:rsidRDefault="000F1E44" w:rsidP="000F1E44">
      <w:pPr>
        <w:spacing w:before="120" w:after="120" w:line="240" w:lineRule="auto"/>
        <w:ind w:firstLine="709"/>
        <w:jc w:val="both"/>
        <w:rPr>
          <w:rFonts w:ascii="Times New Roman" w:hAnsi="Times New Roman" w:cs="Times New Roman"/>
          <w:iCs/>
          <w:sz w:val="28"/>
          <w:szCs w:val="28"/>
          <w:lang w:val="nl-NL" w:eastAsia="ar-SA"/>
        </w:rPr>
      </w:pPr>
      <w:r>
        <w:rPr>
          <w:rFonts w:ascii="Times New Roman" w:hAnsi="Times New Roman" w:cs="Times New Roman"/>
          <w:iCs/>
          <w:sz w:val="28"/>
          <w:szCs w:val="28"/>
          <w:lang w:val="nl-NL" w:eastAsia="ar-SA"/>
        </w:rPr>
        <w:t>Sở Tài chính báo cáo./.</w:t>
      </w:r>
    </w:p>
    <w:p w14:paraId="4FEA449B" w14:textId="77777777" w:rsidR="004E2F05" w:rsidRDefault="004E2F05" w:rsidP="0071773A">
      <w:pPr>
        <w:spacing w:after="120" w:line="240" w:lineRule="auto"/>
        <w:jc w:val="both"/>
        <w:rPr>
          <w:rFonts w:ascii="Times New Roman" w:eastAsia="Times New Roman" w:hAnsi="Times New Roman" w:cs="Times New Roman"/>
          <w:b/>
          <w:bCs/>
          <w:i/>
          <w:iCs/>
          <w:color w:val="000000"/>
          <w:sz w:val="24"/>
          <w:szCs w:val="24"/>
        </w:rPr>
      </w:pPr>
    </w:p>
    <w:tbl>
      <w:tblPr>
        <w:tblW w:w="5000" w:type="pct"/>
        <w:jc w:val="center"/>
        <w:tblLook w:val="04A0" w:firstRow="1" w:lastRow="0" w:firstColumn="1" w:lastColumn="0" w:noHBand="0" w:noVBand="1"/>
      </w:tblPr>
      <w:tblGrid>
        <w:gridCol w:w="4536"/>
        <w:gridCol w:w="4536"/>
      </w:tblGrid>
      <w:tr w:rsidR="003B0DFF" w:rsidRPr="004E2F05" w14:paraId="65DBDC4C" w14:textId="77777777" w:rsidTr="00541E06">
        <w:trPr>
          <w:jc w:val="center"/>
        </w:trPr>
        <w:tc>
          <w:tcPr>
            <w:tcW w:w="2500" w:type="pct"/>
            <w:shd w:val="clear" w:color="auto" w:fill="auto"/>
          </w:tcPr>
          <w:p w14:paraId="33C44E4F" w14:textId="77777777" w:rsidR="003B0DFF" w:rsidRPr="005D3A0F" w:rsidRDefault="003B0DFF" w:rsidP="00541E06">
            <w:pPr>
              <w:spacing w:after="0" w:line="240" w:lineRule="auto"/>
              <w:ind w:left="-102"/>
              <w:rPr>
                <w:rFonts w:ascii="Times New Roman" w:eastAsia="Times New Roman" w:hAnsi="Times New Roman" w:cs="Times New Roman"/>
                <w:color w:val="222222"/>
                <w:sz w:val="24"/>
                <w:szCs w:val="24"/>
              </w:rPr>
            </w:pPr>
            <w:r w:rsidRPr="005D3A0F">
              <w:rPr>
                <w:rFonts w:ascii="Times New Roman" w:eastAsia="Times New Roman" w:hAnsi="Times New Roman" w:cs="Times New Roman"/>
                <w:b/>
                <w:bCs/>
                <w:i/>
                <w:iCs/>
                <w:color w:val="000000"/>
                <w:sz w:val="24"/>
                <w:szCs w:val="24"/>
              </w:rPr>
              <w:t>Nơi nhận:</w:t>
            </w:r>
          </w:p>
          <w:p w14:paraId="0CFD081D" w14:textId="2808D270" w:rsidR="003B0DFF" w:rsidRDefault="003B0DFF" w:rsidP="00541E06">
            <w:pPr>
              <w:spacing w:after="0" w:line="240" w:lineRule="auto"/>
              <w:ind w:left="-104"/>
              <w:rPr>
                <w:rFonts w:ascii="Times New Roman" w:eastAsia="Times New Roman" w:hAnsi="Times New Roman" w:cs="Times New Roman"/>
                <w:color w:val="000000"/>
              </w:rPr>
            </w:pPr>
            <w:r w:rsidRPr="006B598F">
              <w:rPr>
                <w:rFonts w:ascii="Times New Roman" w:eastAsia="Times New Roman" w:hAnsi="Times New Roman" w:cs="Times New Roman"/>
                <w:color w:val="000000"/>
              </w:rPr>
              <w:t xml:space="preserve">- </w:t>
            </w:r>
            <w:r w:rsidR="000F1E44">
              <w:rPr>
                <w:rFonts w:ascii="Times New Roman" w:eastAsia="Times New Roman" w:hAnsi="Times New Roman" w:cs="Times New Roman"/>
                <w:color w:val="000000"/>
              </w:rPr>
              <w:t>Cổng thông tin điện tử Khánh Hòa</w:t>
            </w:r>
            <w:r w:rsidRPr="006B598F">
              <w:rPr>
                <w:rFonts w:ascii="Times New Roman" w:eastAsia="Times New Roman" w:hAnsi="Times New Roman" w:cs="Times New Roman"/>
                <w:color w:val="000000"/>
              </w:rPr>
              <w:t>;</w:t>
            </w:r>
          </w:p>
          <w:p w14:paraId="750F40ED" w14:textId="5845C9DE" w:rsidR="003B0DFF" w:rsidRPr="006B598F" w:rsidRDefault="003B0DFF" w:rsidP="00541E06">
            <w:pPr>
              <w:spacing w:after="0" w:line="240" w:lineRule="auto"/>
              <w:ind w:left="-104"/>
              <w:rPr>
                <w:rFonts w:ascii="Times New Roman" w:eastAsia="Times New Roman" w:hAnsi="Times New Roman" w:cs="Times New Roman"/>
                <w:color w:val="222222"/>
              </w:rPr>
            </w:pPr>
            <w:r w:rsidRPr="006B598F">
              <w:rPr>
                <w:rFonts w:ascii="Times New Roman" w:eastAsia="Times New Roman" w:hAnsi="Times New Roman" w:cs="Times New Roman"/>
                <w:color w:val="000000"/>
              </w:rPr>
              <w:t>- Lưu: VT, </w:t>
            </w:r>
            <w:r>
              <w:rPr>
                <w:rFonts w:ascii="Times New Roman" w:eastAsia="Times New Roman" w:hAnsi="Times New Roman" w:cs="Times New Roman"/>
                <w:color w:val="000000"/>
              </w:rPr>
              <w:t>QLNS.</w:t>
            </w:r>
          </w:p>
          <w:p w14:paraId="653AC08D" w14:textId="77777777" w:rsidR="003B0DFF" w:rsidRPr="005D3A0F" w:rsidRDefault="003B0DFF" w:rsidP="00541E06">
            <w:pPr>
              <w:spacing w:before="120" w:after="120" w:line="240" w:lineRule="auto"/>
              <w:ind w:firstLine="720"/>
              <w:jc w:val="both"/>
              <w:rPr>
                <w:rFonts w:ascii="Times New Roman" w:eastAsia="Times New Roman" w:hAnsi="Times New Roman" w:cs="Times New Roman"/>
                <w:color w:val="000000"/>
                <w:sz w:val="24"/>
                <w:szCs w:val="24"/>
              </w:rPr>
            </w:pPr>
            <w:r w:rsidRPr="005D3A0F">
              <w:rPr>
                <w:rFonts w:ascii="Times New Roman" w:eastAsia="Times New Roman" w:hAnsi="Times New Roman" w:cs="Times New Roman"/>
                <w:color w:val="222222"/>
                <w:sz w:val="24"/>
                <w:szCs w:val="24"/>
              </w:rPr>
              <w:t> </w:t>
            </w:r>
          </w:p>
        </w:tc>
        <w:tc>
          <w:tcPr>
            <w:tcW w:w="2500" w:type="pct"/>
            <w:shd w:val="clear" w:color="auto" w:fill="auto"/>
          </w:tcPr>
          <w:p w14:paraId="19F9D630" w14:textId="26859DE3" w:rsidR="003B0DFF" w:rsidRDefault="003B0DFF" w:rsidP="00541E06">
            <w:pPr>
              <w:spacing w:after="0" w:line="240" w:lineRule="auto"/>
              <w:jc w:val="center"/>
              <w:rPr>
                <w:rFonts w:ascii="Times New Roman" w:eastAsia="Times New Roman" w:hAnsi="Times New Roman" w:cs="Times New Roman"/>
                <w:b/>
                <w:bCs/>
                <w:color w:val="000000"/>
                <w:sz w:val="28"/>
                <w:szCs w:val="28"/>
              </w:rPr>
            </w:pPr>
            <w:r w:rsidRPr="00B54121">
              <w:rPr>
                <w:rFonts w:ascii="Times New Roman" w:eastAsia="Times New Roman" w:hAnsi="Times New Roman" w:cs="Times New Roman"/>
                <w:b/>
                <w:bCs/>
                <w:color w:val="000000"/>
                <w:sz w:val="28"/>
                <w:szCs w:val="28"/>
              </w:rPr>
              <w:t>GIÁM ĐỐC</w:t>
            </w:r>
          </w:p>
          <w:p w14:paraId="64687EF2" w14:textId="7F64A8B1" w:rsidR="003B0DFF" w:rsidRDefault="003B0DFF" w:rsidP="00541E06">
            <w:pPr>
              <w:spacing w:after="0" w:line="240" w:lineRule="auto"/>
              <w:jc w:val="center"/>
              <w:rPr>
                <w:rFonts w:ascii="Times New Roman" w:eastAsia="Times New Roman" w:hAnsi="Times New Roman" w:cs="Times New Roman"/>
                <w:b/>
                <w:bCs/>
                <w:color w:val="000000"/>
                <w:sz w:val="28"/>
                <w:szCs w:val="28"/>
              </w:rPr>
            </w:pPr>
          </w:p>
          <w:p w14:paraId="53A892A0" w14:textId="11D65564" w:rsidR="00802411" w:rsidRDefault="00802411" w:rsidP="00541E06">
            <w:pPr>
              <w:spacing w:after="0" w:line="240" w:lineRule="auto"/>
              <w:jc w:val="center"/>
              <w:rPr>
                <w:rFonts w:ascii="Times New Roman" w:eastAsia="Times New Roman" w:hAnsi="Times New Roman" w:cs="Times New Roman"/>
                <w:b/>
                <w:bCs/>
                <w:color w:val="000000"/>
                <w:sz w:val="28"/>
                <w:szCs w:val="28"/>
              </w:rPr>
            </w:pPr>
          </w:p>
          <w:p w14:paraId="66969958" w14:textId="27662283" w:rsidR="00B04A3A" w:rsidRDefault="00B04A3A" w:rsidP="00541E06">
            <w:pPr>
              <w:spacing w:after="0" w:line="240" w:lineRule="auto"/>
              <w:jc w:val="center"/>
              <w:rPr>
                <w:rFonts w:ascii="Times New Roman" w:eastAsia="Times New Roman" w:hAnsi="Times New Roman" w:cs="Times New Roman"/>
                <w:b/>
                <w:bCs/>
                <w:color w:val="000000"/>
                <w:sz w:val="28"/>
                <w:szCs w:val="28"/>
              </w:rPr>
            </w:pPr>
          </w:p>
          <w:p w14:paraId="1446D38F" w14:textId="77777777" w:rsidR="00291720" w:rsidRDefault="00291720" w:rsidP="00541E06">
            <w:pPr>
              <w:spacing w:after="0" w:line="240" w:lineRule="auto"/>
              <w:jc w:val="center"/>
              <w:rPr>
                <w:rFonts w:ascii="Times New Roman" w:eastAsia="Times New Roman" w:hAnsi="Times New Roman" w:cs="Times New Roman"/>
                <w:b/>
                <w:bCs/>
                <w:color w:val="000000"/>
                <w:sz w:val="28"/>
                <w:szCs w:val="28"/>
              </w:rPr>
            </w:pPr>
          </w:p>
          <w:p w14:paraId="17DB04B9" w14:textId="77777777" w:rsidR="003B0DFF" w:rsidRDefault="003B0DFF" w:rsidP="00541E06">
            <w:pPr>
              <w:spacing w:after="0" w:line="240" w:lineRule="auto"/>
              <w:jc w:val="center"/>
              <w:rPr>
                <w:rFonts w:ascii="Times New Roman" w:eastAsia="Times New Roman" w:hAnsi="Times New Roman" w:cs="Times New Roman"/>
                <w:b/>
                <w:bCs/>
                <w:color w:val="000000"/>
                <w:sz w:val="28"/>
                <w:szCs w:val="28"/>
              </w:rPr>
            </w:pPr>
            <w:bookmarkStart w:id="2" w:name="_GoBack"/>
            <w:bookmarkEnd w:id="2"/>
          </w:p>
          <w:p w14:paraId="4850FBE2" w14:textId="00AC3977" w:rsidR="003B0DFF" w:rsidRPr="004E2F05" w:rsidRDefault="006E0A05" w:rsidP="00541E0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Vĩnh Thông</w:t>
            </w:r>
          </w:p>
        </w:tc>
      </w:tr>
    </w:tbl>
    <w:p w14:paraId="40D630A6" w14:textId="77777777" w:rsidR="004E2F05" w:rsidRDefault="004E2F05" w:rsidP="0071773A">
      <w:pPr>
        <w:spacing w:after="120" w:line="240" w:lineRule="auto"/>
        <w:jc w:val="both"/>
        <w:rPr>
          <w:rFonts w:ascii="Times New Roman" w:eastAsia="Times New Roman" w:hAnsi="Times New Roman" w:cs="Times New Roman"/>
          <w:b/>
          <w:bCs/>
          <w:i/>
          <w:iCs/>
          <w:color w:val="000000"/>
          <w:sz w:val="24"/>
          <w:szCs w:val="24"/>
        </w:rPr>
      </w:pPr>
    </w:p>
    <w:p w14:paraId="76F7731F" w14:textId="35B3C40C" w:rsidR="00D5235F" w:rsidRDefault="00D5235F" w:rsidP="00303E5A">
      <w:pPr>
        <w:spacing w:after="120" w:line="240" w:lineRule="auto"/>
        <w:jc w:val="both"/>
        <w:rPr>
          <w:rFonts w:ascii="Times New Roman" w:hAnsi="Times New Roman" w:cs="Times New Roman"/>
          <w:sz w:val="24"/>
          <w:szCs w:val="24"/>
        </w:rPr>
      </w:pPr>
    </w:p>
    <w:p w14:paraId="4C74DDCB" w14:textId="3A6DA1FE" w:rsidR="00876409" w:rsidRDefault="00876409" w:rsidP="00876409">
      <w:pPr>
        <w:rPr>
          <w:rFonts w:ascii="Times New Roman" w:hAnsi="Times New Roman" w:cs="Times New Roman"/>
          <w:sz w:val="24"/>
          <w:szCs w:val="24"/>
        </w:rPr>
      </w:pPr>
    </w:p>
    <w:p w14:paraId="1AEC60AC" w14:textId="79456053" w:rsidR="00876409" w:rsidRPr="00876409" w:rsidRDefault="00876409" w:rsidP="00876409">
      <w:pPr>
        <w:tabs>
          <w:tab w:val="left" w:pos="6900"/>
        </w:tabs>
        <w:rPr>
          <w:rFonts w:ascii="Times New Roman" w:hAnsi="Times New Roman" w:cs="Times New Roman"/>
          <w:sz w:val="24"/>
          <w:szCs w:val="24"/>
        </w:rPr>
      </w:pPr>
      <w:r>
        <w:rPr>
          <w:rFonts w:ascii="Times New Roman" w:hAnsi="Times New Roman" w:cs="Times New Roman"/>
          <w:sz w:val="24"/>
          <w:szCs w:val="24"/>
        </w:rPr>
        <w:tab/>
      </w:r>
    </w:p>
    <w:sectPr w:rsidR="00876409" w:rsidRPr="00876409" w:rsidSect="000D4D7E">
      <w:headerReference w:type="default" r:id="rId7"/>
      <w:footerReference w:type="default" r:id="rId8"/>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2DC8B" w14:textId="77777777" w:rsidR="00487FAC" w:rsidRDefault="00487FAC" w:rsidP="00665127">
      <w:pPr>
        <w:spacing w:after="0" w:line="240" w:lineRule="auto"/>
      </w:pPr>
      <w:r>
        <w:separator/>
      </w:r>
    </w:p>
  </w:endnote>
  <w:endnote w:type="continuationSeparator" w:id="0">
    <w:p w14:paraId="1CC02666" w14:textId="77777777" w:rsidR="00487FAC" w:rsidRDefault="00487FAC" w:rsidP="0066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33DEC" w14:textId="33AADC01" w:rsidR="00665127" w:rsidRPr="002A41BA" w:rsidRDefault="00665127" w:rsidP="002A41BA">
    <w:pPr>
      <w:pStyle w:val="Footer"/>
      <w:tabs>
        <w:tab w:val="clear" w:pos="4680"/>
        <w:tab w:val="clear" w:pos="9360"/>
        <w:tab w:val="left" w:pos="6720"/>
      </w:tabs>
      <w:jc w:val="right"/>
      <w:rPr>
        <w:rFonts w:ascii="Times New Roman" w:hAnsi="Times New Roman" w:cs="Times New Roman"/>
        <w:color w:val="808080" w:themeColor="background1" w:themeShade="80"/>
        <w:sz w:val="20"/>
        <w:szCs w:val="20"/>
      </w:rPr>
    </w:pPr>
    <w:r>
      <w:tab/>
    </w:r>
    <w:r w:rsidR="002A41BA" w:rsidRPr="002A41BA">
      <w:rPr>
        <w:rFonts w:ascii="Times New Roman" w:hAnsi="Times New Roman" w:cs="Times New Roman"/>
        <w:color w:val="808080" w:themeColor="background1" w:themeShade="80"/>
        <w:sz w:val="20"/>
        <w:szCs w:val="20"/>
      </w:rPr>
      <w:t>stckhh</w:t>
    </w:r>
    <w:r w:rsidRPr="002A41BA">
      <w:rPr>
        <w:rFonts w:ascii="Times New Roman" w:hAnsi="Times New Roman" w:cs="Times New Roman"/>
        <w:color w:val="808080" w:themeColor="background1" w:themeShade="80"/>
        <w:sz w:val="20"/>
        <w:szCs w:val="20"/>
      </w:rPr>
      <w:t>-2</w:t>
    </w:r>
    <w:r w:rsidR="00876409">
      <w:rPr>
        <w:rFonts w:ascii="Times New Roman" w:hAnsi="Times New Roman" w:cs="Times New Roman"/>
        <w:color w:val="808080" w:themeColor="background1" w:themeShade="8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1347F" w14:textId="77777777" w:rsidR="00487FAC" w:rsidRDefault="00487FAC" w:rsidP="00665127">
      <w:pPr>
        <w:spacing w:after="0" w:line="240" w:lineRule="auto"/>
      </w:pPr>
      <w:r>
        <w:separator/>
      </w:r>
    </w:p>
  </w:footnote>
  <w:footnote w:type="continuationSeparator" w:id="0">
    <w:p w14:paraId="18A10D57" w14:textId="77777777" w:rsidR="00487FAC" w:rsidRDefault="00487FAC" w:rsidP="00665127">
      <w:pPr>
        <w:spacing w:after="0" w:line="240" w:lineRule="auto"/>
      </w:pPr>
      <w:r>
        <w:continuationSeparator/>
      </w:r>
    </w:p>
  </w:footnote>
  <w:footnote w:id="1">
    <w:p w14:paraId="7FD45FB6" w14:textId="77777777" w:rsidR="00C96B12" w:rsidRDefault="00C96B12" w:rsidP="00C96B12">
      <w:pPr>
        <w:pStyle w:val="FootnoteText"/>
        <w:jc w:val="both"/>
        <w:rPr>
          <w:sz w:val="24"/>
          <w:szCs w:val="24"/>
        </w:rPr>
      </w:pPr>
      <w:r w:rsidRPr="004C2210">
        <w:rPr>
          <w:rStyle w:val="FootnoteReference"/>
        </w:rPr>
        <w:footnoteRef/>
      </w:r>
      <w:r w:rsidRPr="004C2210">
        <w:t xml:space="preserve"> </w:t>
      </w:r>
      <w:r w:rsidRPr="00F114DB">
        <w:rPr>
          <w:sz w:val="22"/>
          <w:szCs w:val="22"/>
        </w:rPr>
        <w:t xml:space="preserve">Thuế thu nhập từ tiền lương thực hiện </w:t>
      </w:r>
      <w:r>
        <w:rPr>
          <w:sz w:val="22"/>
          <w:szCs w:val="22"/>
        </w:rPr>
        <w:t>848</w:t>
      </w:r>
      <w:r w:rsidRPr="00F114DB">
        <w:rPr>
          <w:sz w:val="22"/>
          <w:szCs w:val="22"/>
        </w:rPr>
        <w:t xml:space="preserve"> tỷ đồng, tăng </w:t>
      </w:r>
      <w:r>
        <w:rPr>
          <w:sz w:val="22"/>
          <w:szCs w:val="22"/>
        </w:rPr>
        <w:t>77</w:t>
      </w:r>
      <w:r w:rsidRPr="00F114DB">
        <w:rPr>
          <w:sz w:val="22"/>
          <w:szCs w:val="22"/>
        </w:rPr>
        <w:t xml:space="preserve"> tỷ đồng so với cùng kỳ; thuế thu nhập từ chuyển nhượng bất động sản thực hiện </w:t>
      </w:r>
      <w:r>
        <w:rPr>
          <w:sz w:val="22"/>
          <w:szCs w:val="22"/>
        </w:rPr>
        <w:t>377</w:t>
      </w:r>
      <w:r w:rsidRPr="00F114DB">
        <w:rPr>
          <w:sz w:val="22"/>
          <w:szCs w:val="22"/>
        </w:rPr>
        <w:t xml:space="preserve"> tỷ đồng, </w:t>
      </w:r>
      <w:r>
        <w:rPr>
          <w:sz w:val="22"/>
          <w:szCs w:val="22"/>
        </w:rPr>
        <w:t>tăng 133</w:t>
      </w:r>
      <w:r w:rsidRPr="00F114DB">
        <w:rPr>
          <w:sz w:val="22"/>
          <w:szCs w:val="22"/>
        </w:rPr>
        <w:t xml:space="preserve"> tỷ đồng so với cùng kỳ.</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88535251"/>
      <w:docPartObj>
        <w:docPartGallery w:val="Page Numbers (Top of Page)"/>
        <w:docPartUnique/>
      </w:docPartObj>
    </w:sdtPr>
    <w:sdtEndPr>
      <w:rPr>
        <w:noProof/>
      </w:rPr>
    </w:sdtEndPr>
    <w:sdtContent>
      <w:p w14:paraId="6062396A" w14:textId="723E62A3" w:rsidR="000D4D7E" w:rsidRPr="000D4D7E" w:rsidRDefault="000D4D7E">
        <w:pPr>
          <w:pStyle w:val="Header"/>
          <w:jc w:val="center"/>
          <w:rPr>
            <w:rFonts w:ascii="Times New Roman" w:hAnsi="Times New Roman" w:cs="Times New Roman"/>
          </w:rPr>
        </w:pPr>
        <w:r w:rsidRPr="000D4D7E">
          <w:rPr>
            <w:rFonts w:ascii="Times New Roman" w:hAnsi="Times New Roman" w:cs="Times New Roman"/>
          </w:rPr>
          <w:fldChar w:fldCharType="begin"/>
        </w:r>
        <w:r w:rsidRPr="000D4D7E">
          <w:rPr>
            <w:rFonts w:ascii="Times New Roman" w:hAnsi="Times New Roman" w:cs="Times New Roman"/>
          </w:rPr>
          <w:instrText xml:space="preserve"> PAGE   \* MERGEFORMAT </w:instrText>
        </w:r>
        <w:r w:rsidRPr="000D4D7E">
          <w:rPr>
            <w:rFonts w:ascii="Times New Roman" w:hAnsi="Times New Roman" w:cs="Times New Roman"/>
          </w:rPr>
          <w:fldChar w:fldCharType="separate"/>
        </w:r>
        <w:r w:rsidRPr="000D4D7E">
          <w:rPr>
            <w:rFonts w:ascii="Times New Roman" w:hAnsi="Times New Roman" w:cs="Times New Roman"/>
            <w:noProof/>
          </w:rPr>
          <w:t>2</w:t>
        </w:r>
        <w:r w:rsidRPr="000D4D7E">
          <w:rPr>
            <w:rFonts w:ascii="Times New Roman" w:hAnsi="Times New Roman" w:cs="Times New Roman"/>
            <w:noProof/>
          </w:rPr>
          <w:fldChar w:fldCharType="end"/>
        </w:r>
      </w:p>
    </w:sdtContent>
  </w:sdt>
  <w:p w14:paraId="4BDB7BD7" w14:textId="77777777" w:rsidR="000D4D7E" w:rsidRDefault="000D4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731D0"/>
    <w:multiLevelType w:val="hybridMultilevel"/>
    <w:tmpl w:val="6A5E1480"/>
    <w:lvl w:ilvl="0" w:tplc="64568D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0F"/>
    <w:rsid w:val="000067CB"/>
    <w:rsid w:val="00036E3B"/>
    <w:rsid w:val="00082C49"/>
    <w:rsid w:val="00087556"/>
    <w:rsid w:val="00097F47"/>
    <w:rsid w:val="000D4D7E"/>
    <w:rsid w:val="000F1E44"/>
    <w:rsid w:val="00111236"/>
    <w:rsid w:val="001200C3"/>
    <w:rsid w:val="00121AF0"/>
    <w:rsid w:val="00132F41"/>
    <w:rsid w:val="001814B7"/>
    <w:rsid w:val="00187A61"/>
    <w:rsid w:val="00191C6B"/>
    <w:rsid w:val="001C19AF"/>
    <w:rsid w:val="001C3179"/>
    <w:rsid w:val="00215B86"/>
    <w:rsid w:val="00215DA1"/>
    <w:rsid w:val="0022770D"/>
    <w:rsid w:val="002311B7"/>
    <w:rsid w:val="00291720"/>
    <w:rsid w:val="002929D5"/>
    <w:rsid w:val="002A41BA"/>
    <w:rsid w:val="002A72E5"/>
    <w:rsid w:val="002A758F"/>
    <w:rsid w:val="002C035F"/>
    <w:rsid w:val="002C5B0A"/>
    <w:rsid w:val="002E402F"/>
    <w:rsid w:val="002F079D"/>
    <w:rsid w:val="002F477E"/>
    <w:rsid w:val="00303E5A"/>
    <w:rsid w:val="00371126"/>
    <w:rsid w:val="003A0095"/>
    <w:rsid w:val="003B0DFF"/>
    <w:rsid w:val="003B6E47"/>
    <w:rsid w:val="004074C4"/>
    <w:rsid w:val="00456400"/>
    <w:rsid w:val="00480443"/>
    <w:rsid w:val="00487FAC"/>
    <w:rsid w:val="0049528A"/>
    <w:rsid w:val="004E0FE9"/>
    <w:rsid w:val="004E2F05"/>
    <w:rsid w:val="004F056F"/>
    <w:rsid w:val="005128C9"/>
    <w:rsid w:val="00514B67"/>
    <w:rsid w:val="00515EB9"/>
    <w:rsid w:val="00526436"/>
    <w:rsid w:val="00541C5E"/>
    <w:rsid w:val="00542420"/>
    <w:rsid w:val="005D3A0F"/>
    <w:rsid w:val="005D5333"/>
    <w:rsid w:val="005E67A5"/>
    <w:rsid w:val="005F4C71"/>
    <w:rsid w:val="00602546"/>
    <w:rsid w:val="006231A5"/>
    <w:rsid w:val="00632EB4"/>
    <w:rsid w:val="00633151"/>
    <w:rsid w:val="00652210"/>
    <w:rsid w:val="00656A58"/>
    <w:rsid w:val="00665127"/>
    <w:rsid w:val="006658E1"/>
    <w:rsid w:val="0069144A"/>
    <w:rsid w:val="006B42E2"/>
    <w:rsid w:val="006B598F"/>
    <w:rsid w:val="006C2CDC"/>
    <w:rsid w:val="006C6658"/>
    <w:rsid w:val="006D30EC"/>
    <w:rsid w:val="006E0A05"/>
    <w:rsid w:val="006F02D4"/>
    <w:rsid w:val="006F7B46"/>
    <w:rsid w:val="00711C33"/>
    <w:rsid w:val="0071773A"/>
    <w:rsid w:val="00724617"/>
    <w:rsid w:val="00733176"/>
    <w:rsid w:val="007720D9"/>
    <w:rsid w:val="007960CE"/>
    <w:rsid w:val="007A5A79"/>
    <w:rsid w:val="007C0D2D"/>
    <w:rsid w:val="007C4D00"/>
    <w:rsid w:val="007E3B02"/>
    <w:rsid w:val="00802411"/>
    <w:rsid w:val="00807A86"/>
    <w:rsid w:val="00824337"/>
    <w:rsid w:val="0084789D"/>
    <w:rsid w:val="00862640"/>
    <w:rsid w:val="00876409"/>
    <w:rsid w:val="00876763"/>
    <w:rsid w:val="0088214A"/>
    <w:rsid w:val="008A24C1"/>
    <w:rsid w:val="008D5884"/>
    <w:rsid w:val="0090429A"/>
    <w:rsid w:val="00914239"/>
    <w:rsid w:val="009228A3"/>
    <w:rsid w:val="00926A03"/>
    <w:rsid w:val="009439D6"/>
    <w:rsid w:val="009C0786"/>
    <w:rsid w:val="00A004BD"/>
    <w:rsid w:val="00A07966"/>
    <w:rsid w:val="00A93F05"/>
    <w:rsid w:val="00AC12A6"/>
    <w:rsid w:val="00AC679B"/>
    <w:rsid w:val="00AD4F10"/>
    <w:rsid w:val="00B00026"/>
    <w:rsid w:val="00B04A3A"/>
    <w:rsid w:val="00B16CBA"/>
    <w:rsid w:val="00B241EA"/>
    <w:rsid w:val="00B51D6A"/>
    <w:rsid w:val="00B54121"/>
    <w:rsid w:val="00B5531E"/>
    <w:rsid w:val="00B579D4"/>
    <w:rsid w:val="00B91BA5"/>
    <w:rsid w:val="00B922EC"/>
    <w:rsid w:val="00BA32AF"/>
    <w:rsid w:val="00BC3826"/>
    <w:rsid w:val="00BC69FF"/>
    <w:rsid w:val="00C14CD6"/>
    <w:rsid w:val="00C23125"/>
    <w:rsid w:val="00C25186"/>
    <w:rsid w:val="00C73AFC"/>
    <w:rsid w:val="00C75DF7"/>
    <w:rsid w:val="00C96B12"/>
    <w:rsid w:val="00CA013E"/>
    <w:rsid w:val="00CA4AA4"/>
    <w:rsid w:val="00CB4428"/>
    <w:rsid w:val="00CB55AA"/>
    <w:rsid w:val="00CB6B87"/>
    <w:rsid w:val="00CC0C75"/>
    <w:rsid w:val="00CD3C50"/>
    <w:rsid w:val="00CD6F1C"/>
    <w:rsid w:val="00CF556B"/>
    <w:rsid w:val="00D04D8A"/>
    <w:rsid w:val="00D1456F"/>
    <w:rsid w:val="00D3533F"/>
    <w:rsid w:val="00D4391B"/>
    <w:rsid w:val="00D43BF5"/>
    <w:rsid w:val="00D5235F"/>
    <w:rsid w:val="00D85C33"/>
    <w:rsid w:val="00D92055"/>
    <w:rsid w:val="00D96332"/>
    <w:rsid w:val="00E34D82"/>
    <w:rsid w:val="00E96C44"/>
    <w:rsid w:val="00ED152A"/>
    <w:rsid w:val="00F14732"/>
    <w:rsid w:val="00F15941"/>
    <w:rsid w:val="00F23822"/>
    <w:rsid w:val="00F347D0"/>
    <w:rsid w:val="00F74ECE"/>
    <w:rsid w:val="00F812E5"/>
    <w:rsid w:val="00F8225A"/>
    <w:rsid w:val="00FA4BF6"/>
    <w:rsid w:val="00FF0BE1"/>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9341D"/>
  <w15:docId w15:val="{D09012BE-10D2-4801-979B-E1C9FF91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A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3A0F"/>
    <w:rPr>
      <w:b/>
      <w:bCs/>
    </w:rPr>
  </w:style>
  <w:style w:type="character" w:styleId="Emphasis">
    <w:name w:val="Emphasis"/>
    <w:basedOn w:val="DefaultParagraphFont"/>
    <w:uiPriority w:val="20"/>
    <w:qFormat/>
    <w:rsid w:val="005D3A0F"/>
    <w:rPr>
      <w:i/>
      <w:iCs/>
    </w:rPr>
  </w:style>
  <w:style w:type="paragraph" w:styleId="Header">
    <w:name w:val="header"/>
    <w:basedOn w:val="Normal"/>
    <w:link w:val="HeaderChar"/>
    <w:uiPriority w:val="99"/>
    <w:unhideWhenUsed/>
    <w:rsid w:val="00665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27"/>
  </w:style>
  <w:style w:type="paragraph" w:styleId="Footer">
    <w:name w:val="footer"/>
    <w:basedOn w:val="Normal"/>
    <w:link w:val="FooterChar"/>
    <w:uiPriority w:val="99"/>
    <w:unhideWhenUsed/>
    <w:rsid w:val="00665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27"/>
  </w:style>
  <w:style w:type="paragraph" w:styleId="BalloonText">
    <w:name w:val="Balloon Text"/>
    <w:basedOn w:val="Normal"/>
    <w:link w:val="BalloonTextChar"/>
    <w:uiPriority w:val="99"/>
    <w:semiHidden/>
    <w:unhideWhenUsed/>
    <w:rsid w:val="00665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127"/>
    <w:rPr>
      <w:rFonts w:ascii="Segoe UI" w:hAnsi="Segoe UI" w:cs="Segoe UI"/>
      <w:sz w:val="18"/>
      <w:szCs w:val="18"/>
    </w:rPr>
  </w:style>
  <w:style w:type="paragraph" w:styleId="ListParagraph">
    <w:name w:val="List Paragraph"/>
    <w:basedOn w:val="Normal"/>
    <w:uiPriority w:val="34"/>
    <w:qFormat/>
    <w:rsid w:val="006658E1"/>
    <w:pPr>
      <w:ind w:left="720"/>
      <w:contextualSpacing/>
    </w:pPr>
  </w:style>
  <w:style w:type="paragraph" w:styleId="FootnoteText">
    <w:name w:val="footnote text"/>
    <w:aliases w:val="Char9"/>
    <w:basedOn w:val="Normal"/>
    <w:link w:val="FootnoteTextChar"/>
    <w:uiPriority w:val="99"/>
    <w:unhideWhenUsed/>
    <w:rsid w:val="003B6E47"/>
    <w:rPr>
      <w:rFonts w:ascii="Times New Roman" w:eastAsia="Calibri" w:hAnsi="Times New Roman" w:cs="Times New Roman"/>
      <w:sz w:val="20"/>
      <w:szCs w:val="20"/>
    </w:rPr>
  </w:style>
  <w:style w:type="character" w:customStyle="1" w:styleId="FootnoteTextChar">
    <w:name w:val="Footnote Text Char"/>
    <w:aliases w:val="Char9 Char"/>
    <w:basedOn w:val="DefaultParagraphFont"/>
    <w:link w:val="FootnoteText"/>
    <w:uiPriority w:val="99"/>
    <w:rsid w:val="003B6E47"/>
    <w:rPr>
      <w:rFonts w:ascii="Times New Roman" w:eastAsia="Calibri" w:hAnsi="Times New Roman" w:cs="Times New Roman"/>
      <w:sz w:val="20"/>
      <w:szCs w:val="20"/>
    </w:rPr>
  </w:style>
  <w:style w:type="character" w:styleId="FootnoteReference">
    <w:name w:val="footnote reference"/>
    <w:aliases w:val="Footnote"/>
    <w:uiPriority w:val="99"/>
    <w:unhideWhenUsed/>
    <w:rsid w:val="003B6E47"/>
    <w:rPr>
      <w:vertAlign w:val="superscript"/>
    </w:rPr>
  </w:style>
  <w:style w:type="paragraph" w:styleId="BodyTextIndent2">
    <w:name w:val="Body Text Indent 2"/>
    <w:basedOn w:val="Normal"/>
    <w:link w:val="BodyTextIndent2Char"/>
    <w:rsid w:val="00191C6B"/>
    <w:pPr>
      <w:spacing w:after="0" w:line="240" w:lineRule="auto"/>
      <w:ind w:left="720" w:firstLine="720"/>
      <w:jc w:val="both"/>
    </w:pPr>
    <w:rPr>
      <w:rFonts w:ascii="Times New Roman" w:eastAsia="Times New Roman" w:hAnsi="Times New Roman" w:cs="Times New Roman"/>
      <w:sz w:val="26"/>
      <w:szCs w:val="24"/>
      <w:lang w:val="x-none" w:eastAsia="x-none"/>
    </w:rPr>
  </w:style>
  <w:style w:type="character" w:customStyle="1" w:styleId="BodyTextIndent2Char">
    <w:name w:val="Body Text Indent 2 Char"/>
    <w:basedOn w:val="DefaultParagraphFont"/>
    <w:link w:val="BodyTextIndent2"/>
    <w:rsid w:val="00191C6B"/>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6305">
      <w:bodyDiv w:val="1"/>
      <w:marLeft w:val="0"/>
      <w:marRight w:val="0"/>
      <w:marTop w:val="0"/>
      <w:marBottom w:val="0"/>
      <w:divBdr>
        <w:top w:val="none" w:sz="0" w:space="0" w:color="auto"/>
        <w:left w:val="none" w:sz="0" w:space="0" w:color="auto"/>
        <w:bottom w:val="none" w:sz="0" w:space="0" w:color="auto"/>
        <w:right w:val="none" w:sz="0" w:space="0" w:color="auto"/>
      </w:divBdr>
      <w:divsChild>
        <w:div w:id="438258987">
          <w:marLeft w:val="0"/>
          <w:marRight w:val="0"/>
          <w:marTop w:val="0"/>
          <w:marBottom w:val="0"/>
          <w:divBdr>
            <w:top w:val="none" w:sz="0" w:space="0" w:color="auto"/>
            <w:left w:val="none" w:sz="0" w:space="0" w:color="auto"/>
            <w:bottom w:val="none" w:sz="0" w:space="0" w:color="auto"/>
            <w:right w:val="none" w:sz="0" w:space="0" w:color="auto"/>
          </w:divBdr>
        </w:div>
      </w:divsChild>
    </w:div>
    <w:div w:id="915938701">
      <w:bodyDiv w:val="1"/>
      <w:marLeft w:val="0"/>
      <w:marRight w:val="0"/>
      <w:marTop w:val="0"/>
      <w:marBottom w:val="0"/>
      <w:divBdr>
        <w:top w:val="none" w:sz="0" w:space="0" w:color="auto"/>
        <w:left w:val="none" w:sz="0" w:space="0" w:color="auto"/>
        <w:bottom w:val="none" w:sz="0" w:space="0" w:color="auto"/>
        <w:right w:val="none" w:sz="0" w:space="0" w:color="auto"/>
      </w:divBdr>
      <w:divsChild>
        <w:div w:id="770855349">
          <w:marLeft w:val="0"/>
          <w:marRight w:val="0"/>
          <w:marTop w:val="0"/>
          <w:marBottom w:val="0"/>
          <w:divBdr>
            <w:top w:val="none" w:sz="0" w:space="0" w:color="auto"/>
            <w:left w:val="none" w:sz="0" w:space="0" w:color="auto"/>
            <w:bottom w:val="none" w:sz="0" w:space="0" w:color="auto"/>
            <w:right w:val="none" w:sz="0" w:space="0" w:color="auto"/>
          </w:divBdr>
        </w:div>
      </w:divsChild>
    </w:div>
    <w:div w:id="920062408">
      <w:bodyDiv w:val="1"/>
      <w:marLeft w:val="0"/>
      <w:marRight w:val="0"/>
      <w:marTop w:val="0"/>
      <w:marBottom w:val="0"/>
      <w:divBdr>
        <w:top w:val="none" w:sz="0" w:space="0" w:color="auto"/>
        <w:left w:val="none" w:sz="0" w:space="0" w:color="auto"/>
        <w:bottom w:val="none" w:sz="0" w:space="0" w:color="auto"/>
        <w:right w:val="none" w:sz="0" w:space="0" w:color="auto"/>
      </w:divBdr>
    </w:div>
    <w:div w:id="130110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duong thi hong loan</cp:lastModifiedBy>
  <cp:revision>52</cp:revision>
  <cp:lastPrinted>2025-02-04T11:52:00Z</cp:lastPrinted>
  <dcterms:created xsi:type="dcterms:W3CDTF">2022-10-17T11:31:00Z</dcterms:created>
  <dcterms:modified xsi:type="dcterms:W3CDTF">2025-02-18T01:22:00Z</dcterms:modified>
</cp:coreProperties>
</file>